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06" w:rsidRPr="00C13C06" w:rsidRDefault="00C13C06" w:rsidP="00C13C06">
      <w:pPr>
        <w:widowControl/>
        <w:spacing w:before="100" w:beforeAutospacing="1" w:after="100" w:afterAutospacing="1"/>
        <w:jc w:val="center"/>
        <w:outlineLvl w:val="1"/>
        <w:rPr>
          <w:rFonts w:ascii="微软雅黑" w:eastAsia="微软雅黑" w:hAnsi="微软雅黑" w:cs="Times New Roman"/>
          <w:b/>
          <w:bCs/>
          <w:color w:val="000000"/>
          <w:kern w:val="0"/>
          <w:sz w:val="36"/>
          <w:szCs w:val="36"/>
        </w:rPr>
      </w:pPr>
      <w:r w:rsidRPr="00C13C06">
        <w:rPr>
          <w:rFonts w:ascii="微软雅黑" w:eastAsia="微软雅黑" w:hAnsi="微软雅黑" w:cs="Times New Roman"/>
          <w:b/>
          <w:bCs/>
          <w:color w:val="000000"/>
          <w:kern w:val="0"/>
          <w:sz w:val="36"/>
          <w:szCs w:val="36"/>
        </w:rPr>
        <w:t>国际人用药品注册技术协调会（ICH）简介</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国际人用药品注册技术协调会（ICH</w:t>
      </w:r>
      <w:bookmarkStart w:id="0" w:name="_GoBack"/>
      <w:bookmarkEnd w:id="0"/>
      <w:r w:rsidRPr="00C13C06">
        <w:rPr>
          <w:rFonts w:ascii="微软雅黑" w:eastAsia="微软雅黑" w:hAnsi="微软雅黑" w:cs="Times New Roman"/>
          <w:color w:val="000000"/>
          <w:kern w:val="0"/>
          <w:sz w:val="24"/>
          <w:szCs w:val="24"/>
        </w:rPr>
        <w:t>）是一个国际性非盈利组织，该组织依照瑞士法律成立于2015年10月。 ICH的宗旨是通过技术要求的国际协调提高公众健康，这些技术标准有利于及时为患者提供新药品并保证患者可持续获得已获批药品，防止人体临床试验的不必要重复， 以高效和具成本效益的方式研发、注册和生产安全、有效和高质量的药品，及在不折损安全性和有效性的前提下尽量少的使用动物试验。</w:t>
      </w:r>
    </w:p>
    <w:p w:rsidR="00C13C06" w:rsidRPr="00C13C06" w:rsidRDefault="00C13C06" w:rsidP="00C13C06">
      <w:pPr>
        <w:widowControl/>
        <w:ind w:firstLine="480"/>
        <w:rPr>
          <w:rFonts w:ascii="微软雅黑" w:eastAsia="微软雅黑" w:hAnsi="微软雅黑" w:cs="Times New Roman"/>
          <w:b/>
          <w:bCs/>
          <w:color w:val="000000"/>
          <w:kern w:val="0"/>
          <w:sz w:val="24"/>
          <w:szCs w:val="24"/>
        </w:rPr>
      </w:pPr>
      <w:r w:rsidRPr="00C13C06">
        <w:rPr>
          <w:rFonts w:ascii="微软雅黑" w:eastAsia="微软雅黑" w:hAnsi="微软雅黑" w:cs="Times New Roman"/>
          <w:b/>
          <w:bCs/>
          <w:color w:val="000000"/>
          <w:kern w:val="0"/>
          <w:sz w:val="24"/>
          <w:szCs w:val="24"/>
        </w:rPr>
        <w:t>1.目的</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通过对相关技术要求进行国际协调，加快引进创新药，确保患者能够持续获得已批准药物， 从而推动公众健康，同时避免在人体上重复开展临床试验，以经济有效的方式来保证研发、注册和生产的药物安全、有效且高质量，同时在不影响安全性和有效性的前提下最大限度地减少动物试验。</w:t>
      </w:r>
    </w:p>
    <w:p w:rsidR="00C13C06" w:rsidRPr="00C13C06" w:rsidRDefault="00C13C06" w:rsidP="00C13C06">
      <w:pPr>
        <w:widowControl/>
        <w:ind w:firstLine="480"/>
        <w:rPr>
          <w:rFonts w:ascii="微软雅黑" w:eastAsia="微软雅黑" w:hAnsi="微软雅黑" w:cs="Times New Roman"/>
          <w:b/>
          <w:bCs/>
          <w:color w:val="000000"/>
          <w:kern w:val="0"/>
          <w:sz w:val="24"/>
          <w:szCs w:val="24"/>
        </w:rPr>
      </w:pPr>
      <w:r w:rsidRPr="00C13C06">
        <w:rPr>
          <w:rFonts w:ascii="微软雅黑" w:eastAsia="微软雅黑" w:hAnsi="微软雅黑" w:cs="Times New Roman"/>
          <w:b/>
          <w:bCs/>
          <w:color w:val="000000"/>
          <w:kern w:val="0"/>
          <w:sz w:val="24"/>
          <w:szCs w:val="24"/>
        </w:rPr>
        <w:t>2.任务及目标</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为在药品注册与注册维护的技术指导原则和要求的解释与应用中为实现更大程度的协调提出建议；</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论坛的维护，就药品技术要求的协调在监管机构和医药行业间构建科学问题对话；</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出于国际视角，为保护公众健康作出贡献；</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监测与更新协调的技术要求，使研发数据更大程度的相互接受；</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因治疗的进步和药品生产新技术的发展，通过对需要议题的协调，避免未来要求的不同；</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促进采纳新的或改善的技术研究与开发方法，更新或替代目前作法；</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lastRenderedPageBreak/>
        <w:t>• 通过协调的指导原则及其使用方面信息的传播、交流及培训，鼓励通用标准的实施与接轨；</w:t>
      </w:r>
    </w:p>
    <w:p w:rsidR="00C13C06" w:rsidRPr="00C13C06" w:rsidRDefault="00C13C06" w:rsidP="00C13C06">
      <w:pPr>
        <w:widowControl/>
        <w:ind w:firstLine="480"/>
        <w:rPr>
          <w:rFonts w:ascii="微软雅黑" w:eastAsia="微软雅黑" w:hAnsi="微软雅黑" w:cs="Times New Roman"/>
          <w:color w:val="000000"/>
          <w:kern w:val="0"/>
          <w:sz w:val="24"/>
          <w:szCs w:val="24"/>
        </w:rPr>
      </w:pPr>
      <w:r w:rsidRPr="00C13C06">
        <w:rPr>
          <w:rFonts w:ascii="微软雅黑" w:eastAsia="微软雅黑" w:hAnsi="微软雅黑" w:cs="Times New Roman"/>
          <w:color w:val="000000"/>
          <w:kern w:val="0"/>
          <w:sz w:val="24"/>
          <w:szCs w:val="24"/>
        </w:rPr>
        <w:t>• 制定ICH监管活动医学词典（MedDRA）术语的政策，同时确保MedDRA作为方便人用药品国际监管信息分享的标准化词典的科学与技术维护、开发和传播。</w:t>
      </w:r>
    </w:p>
    <w:p w:rsidR="00DC692F" w:rsidRPr="00C13C06" w:rsidRDefault="00C13C06" w:rsidP="00C13C06">
      <w:pPr>
        <w:rPr>
          <w:rFonts w:ascii="微软雅黑" w:eastAsia="微软雅黑" w:hAnsi="微软雅黑"/>
        </w:rPr>
      </w:pPr>
    </w:p>
    <w:p w:rsidR="00C13C06" w:rsidRPr="00C13C06" w:rsidRDefault="00C13C06" w:rsidP="00C13C06">
      <w:pPr>
        <w:widowControl/>
        <w:spacing w:before="100" w:beforeAutospacing="1" w:after="100" w:afterAutospacing="1"/>
        <w:jc w:val="center"/>
        <w:outlineLvl w:val="1"/>
        <w:rPr>
          <w:rFonts w:ascii="微软雅黑" w:eastAsia="微软雅黑" w:hAnsi="微软雅黑" w:cs="宋体"/>
          <w:b/>
          <w:bCs/>
          <w:kern w:val="0"/>
          <w:sz w:val="36"/>
          <w:szCs w:val="36"/>
        </w:rPr>
      </w:pPr>
      <w:r w:rsidRPr="00C13C06">
        <w:rPr>
          <w:rFonts w:ascii="微软雅黑" w:eastAsia="微软雅黑" w:hAnsi="微软雅黑" w:cs="宋体"/>
          <w:b/>
          <w:bCs/>
          <w:kern w:val="0"/>
          <w:sz w:val="36"/>
          <w:szCs w:val="36"/>
        </w:rPr>
        <w:t>成员和观察员</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（一）ICH成员(MEMBERS)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1.创始监管机构成员(Founding Regulatory 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4" w:tgtFrame="_blank" w:history="1">
        <w:r w:rsidRPr="00C13C06">
          <w:rPr>
            <w:rFonts w:ascii="微软雅黑" w:eastAsia="微软雅黑" w:hAnsi="微软雅黑" w:cs="宋体"/>
            <w:color w:val="0000FF"/>
            <w:kern w:val="0"/>
            <w:sz w:val="24"/>
            <w:szCs w:val="24"/>
            <w:u w:val="single"/>
          </w:rPr>
          <w:t>• 欧盟委员会（EC）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5" w:tgtFrame="_blank" w:history="1">
        <w:r w:rsidRPr="00C13C06">
          <w:rPr>
            <w:rFonts w:ascii="微软雅黑" w:eastAsia="微软雅黑" w:hAnsi="微软雅黑" w:cs="宋体"/>
            <w:color w:val="0000FF"/>
            <w:kern w:val="0"/>
            <w:sz w:val="24"/>
            <w:szCs w:val="24"/>
            <w:u w:val="single"/>
          </w:rPr>
          <w:t>• 美国食品药品管理局（FDA）</w:t>
        </w:r>
      </w:hyperlink>
      <w:r w:rsidRPr="00C13C06">
        <w:rPr>
          <w:rFonts w:ascii="微软雅黑" w:eastAsia="微软雅黑" w:hAnsi="微软雅黑" w:cs="宋体"/>
          <w:kern w:val="0"/>
          <w:sz w:val="24"/>
          <w:szCs w:val="24"/>
        </w:rPr>
        <w:fldChar w:fldCharType="begin"/>
      </w:r>
      <w:r w:rsidRPr="00C13C06">
        <w:rPr>
          <w:rFonts w:ascii="微软雅黑" w:eastAsia="微软雅黑" w:hAnsi="微软雅黑" w:cs="宋体"/>
          <w:kern w:val="0"/>
          <w:sz w:val="24"/>
          <w:szCs w:val="24"/>
        </w:rPr>
        <w:instrText xml:space="preserve"> HYPERLINK "http://www.mhlw.go.jp/" \t "_blank" </w:instrText>
      </w:r>
      <w:r w:rsidRPr="00C13C06">
        <w:rPr>
          <w:rFonts w:ascii="微软雅黑" w:eastAsia="微软雅黑" w:hAnsi="微软雅黑" w:cs="宋体"/>
          <w:kern w:val="0"/>
          <w:sz w:val="24"/>
          <w:szCs w:val="24"/>
        </w:rPr>
        <w:fldChar w:fldCharType="separate"/>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color w:val="0000FF"/>
          <w:kern w:val="0"/>
          <w:sz w:val="24"/>
          <w:szCs w:val="24"/>
          <w:u w:val="single"/>
        </w:rPr>
        <w:t>• 日本厚生劳动省/日本药品及医疗器械管理局（MHLW/PMDA）</w:t>
      </w:r>
      <w:r w:rsidRPr="00C13C06">
        <w:rPr>
          <w:rFonts w:ascii="微软雅黑" w:eastAsia="微软雅黑" w:hAnsi="微软雅黑" w:cs="宋体"/>
          <w:kern w:val="0"/>
          <w:sz w:val="24"/>
          <w:szCs w:val="24"/>
        </w:rPr>
        <w:fldChar w:fldCharType="end"/>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2.创始行业成员(Founding Industry 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6" w:tgtFrame="_blank" w:history="1">
        <w:r w:rsidRPr="00C13C06">
          <w:rPr>
            <w:rFonts w:ascii="微软雅黑" w:eastAsia="微软雅黑" w:hAnsi="微软雅黑" w:cs="宋体"/>
            <w:color w:val="0000FF"/>
            <w:kern w:val="0"/>
            <w:sz w:val="24"/>
            <w:szCs w:val="24"/>
            <w:u w:val="single"/>
          </w:rPr>
          <w:t>• 欧洲制药工业协会联合会（EFPIA）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7" w:tgtFrame="_blank" w:history="1">
        <w:r w:rsidRPr="00C13C06">
          <w:rPr>
            <w:rFonts w:ascii="微软雅黑" w:eastAsia="微软雅黑" w:hAnsi="微软雅黑" w:cs="宋体"/>
            <w:color w:val="0000FF"/>
            <w:kern w:val="0"/>
            <w:sz w:val="24"/>
            <w:szCs w:val="24"/>
            <w:u w:val="single"/>
          </w:rPr>
          <w:t>• 日本制药工业协会（JPMA）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8" w:tgtFrame="_blank" w:history="1">
        <w:r w:rsidRPr="00C13C06">
          <w:rPr>
            <w:rFonts w:ascii="微软雅黑" w:eastAsia="微软雅黑" w:hAnsi="微软雅黑" w:cs="宋体"/>
            <w:color w:val="0000FF"/>
            <w:kern w:val="0"/>
            <w:sz w:val="24"/>
            <w:szCs w:val="24"/>
            <w:u w:val="single"/>
          </w:rPr>
          <w:t>• 美国药品研究与制造商协会（PhRMA）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3.常任监管机构成员(Standing Regulatory 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9" w:tgtFrame="_blank" w:history="1">
        <w:r w:rsidRPr="00C13C06">
          <w:rPr>
            <w:rFonts w:ascii="微软雅黑" w:eastAsia="微软雅黑" w:hAnsi="微软雅黑" w:cs="宋体"/>
            <w:color w:val="0000FF"/>
            <w:kern w:val="0"/>
            <w:sz w:val="24"/>
            <w:szCs w:val="24"/>
            <w:u w:val="single"/>
          </w:rPr>
          <w:t>• 加拿大卫生部（Health Canada）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0" w:tgtFrame="_blank" w:history="1">
        <w:r w:rsidRPr="00C13C06">
          <w:rPr>
            <w:rFonts w:ascii="微软雅黑" w:eastAsia="微软雅黑" w:hAnsi="微软雅黑" w:cs="宋体"/>
            <w:color w:val="0000FF"/>
            <w:kern w:val="0"/>
            <w:sz w:val="24"/>
            <w:szCs w:val="24"/>
            <w:u w:val="single"/>
          </w:rPr>
          <w:t>• 瑞士医药管理局（Swissmedic）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4.监管机构成员(Regulatory 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1" w:tgtFrame="_blank" w:history="1">
        <w:r w:rsidRPr="00C13C06">
          <w:rPr>
            <w:rFonts w:ascii="微软雅黑" w:eastAsia="微软雅黑" w:hAnsi="微软雅黑" w:cs="宋体"/>
            <w:color w:val="0000FF"/>
            <w:kern w:val="0"/>
            <w:sz w:val="24"/>
            <w:szCs w:val="24"/>
            <w:u w:val="single"/>
          </w:rPr>
          <w:t>• 巴西卫生监督局（ANVISA）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2" w:tgtFrame="_blank" w:history="1">
        <w:r w:rsidRPr="00C13C06">
          <w:rPr>
            <w:rFonts w:ascii="微软雅黑" w:eastAsia="微软雅黑" w:hAnsi="微软雅黑" w:cs="宋体"/>
            <w:color w:val="0000FF"/>
            <w:kern w:val="0"/>
            <w:sz w:val="24"/>
            <w:szCs w:val="24"/>
            <w:u w:val="single"/>
          </w:rPr>
          <w:t>• 中国国家食品药品监督管理总局（CFDA）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3" w:tgtFrame="_blank" w:history="1">
        <w:r w:rsidRPr="00C13C06">
          <w:rPr>
            <w:rFonts w:ascii="微软雅黑" w:eastAsia="微软雅黑" w:hAnsi="微软雅黑" w:cs="宋体"/>
            <w:color w:val="0000FF"/>
            <w:kern w:val="0"/>
            <w:sz w:val="24"/>
            <w:szCs w:val="24"/>
            <w:u w:val="single"/>
          </w:rPr>
          <w:t>• 新加坡卫生科学局（HSA）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4" w:tgtFrame="_blank" w:history="1">
        <w:r w:rsidRPr="00C13C06">
          <w:rPr>
            <w:rFonts w:ascii="微软雅黑" w:eastAsia="微软雅黑" w:hAnsi="微软雅黑" w:cs="宋体"/>
            <w:color w:val="0000FF"/>
            <w:kern w:val="0"/>
            <w:sz w:val="24"/>
            <w:szCs w:val="24"/>
            <w:u w:val="single"/>
          </w:rPr>
          <w:t>• 韩国食品药品安全部（MFDS）</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 台湾卫生福利部食品药物管理署（TFDA）</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5.行业成员(Industry Members)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5" w:tgtFrame="_blank" w:history="1">
        <w:r w:rsidRPr="00C13C06">
          <w:rPr>
            <w:rFonts w:ascii="微软雅黑" w:eastAsia="微软雅黑" w:hAnsi="微软雅黑" w:cs="宋体"/>
            <w:color w:val="0000FF"/>
            <w:kern w:val="0"/>
            <w:sz w:val="24"/>
            <w:szCs w:val="24"/>
            <w:u w:val="single"/>
          </w:rPr>
          <w:t>• 美国生物技术工业组织（BIO）</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6" w:tgtFrame="_blank" w:history="1">
        <w:r w:rsidRPr="00C13C06">
          <w:rPr>
            <w:rFonts w:ascii="微软雅黑" w:eastAsia="微软雅黑" w:hAnsi="微软雅黑" w:cs="宋体"/>
            <w:color w:val="0000FF"/>
            <w:kern w:val="0"/>
            <w:sz w:val="24"/>
            <w:szCs w:val="24"/>
            <w:u w:val="single"/>
          </w:rPr>
          <w:t>• 国际仿制药和生物类似药协会（IGBA）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7" w:tgtFrame="_blank" w:history="1">
        <w:r w:rsidRPr="00C13C06">
          <w:rPr>
            <w:rFonts w:ascii="微软雅黑" w:eastAsia="微软雅黑" w:hAnsi="微软雅黑" w:cs="宋体"/>
            <w:color w:val="0000FF"/>
            <w:kern w:val="0"/>
            <w:sz w:val="24"/>
            <w:szCs w:val="24"/>
            <w:u w:val="single"/>
          </w:rPr>
          <w:t>• 世界自我医疗产业协会（WSMI）</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（二）观察员(OBSERVERS)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1.常任观察员(Standing Observers)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8" w:tgtFrame="_blank" w:history="1">
        <w:r w:rsidRPr="00C13C06">
          <w:rPr>
            <w:rFonts w:ascii="微软雅黑" w:eastAsia="微软雅黑" w:hAnsi="微软雅黑" w:cs="宋体"/>
            <w:color w:val="0000FF"/>
            <w:kern w:val="0"/>
            <w:sz w:val="24"/>
            <w:szCs w:val="24"/>
            <w:u w:val="single"/>
          </w:rPr>
          <w:t>• 国际制药企业和协会联合会（IFPMA）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19" w:tgtFrame="_blank" w:history="1">
        <w:r w:rsidRPr="00C13C06">
          <w:rPr>
            <w:rFonts w:ascii="微软雅黑" w:eastAsia="微软雅黑" w:hAnsi="微软雅黑" w:cs="宋体"/>
            <w:color w:val="0000FF"/>
            <w:kern w:val="0"/>
            <w:sz w:val="24"/>
            <w:szCs w:val="24"/>
            <w:u w:val="single"/>
          </w:rPr>
          <w:t>• 世界卫生组织（WHO）</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2.立法或行政机构(Legislative or Administrative Authorities)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0" w:tgtFrame="_blank" w:history="1">
        <w:r w:rsidRPr="00C13C06">
          <w:rPr>
            <w:rFonts w:ascii="微软雅黑" w:eastAsia="微软雅黑" w:hAnsi="微软雅黑" w:cs="宋体"/>
            <w:color w:val="0000FF"/>
            <w:kern w:val="0"/>
            <w:sz w:val="24"/>
            <w:szCs w:val="24"/>
            <w:u w:val="single"/>
          </w:rPr>
          <w:t>• 印度中央药品标准控制组织（CDSCO）</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1" w:tgtFrame="_blank" w:history="1">
        <w:r w:rsidRPr="00C13C06">
          <w:rPr>
            <w:rFonts w:ascii="微软雅黑" w:eastAsia="微软雅黑" w:hAnsi="微软雅黑" w:cs="宋体"/>
            <w:color w:val="0000FF"/>
            <w:kern w:val="0"/>
            <w:sz w:val="24"/>
            <w:szCs w:val="24"/>
            <w:u w:val="single"/>
          </w:rPr>
          <w:t>• 古巴国家药品和医疗器械控制中心（CECMED）</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2" w:tgtFrame="_blank" w:history="1">
        <w:r w:rsidRPr="00C13C06">
          <w:rPr>
            <w:rFonts w:ascii="微软雅黑" w:eastAsia="微软雅黑" w:hAnsi="微软雅黑" w:cs="宋体"/>
            <w:color w:val="0000FF"/>
            <w:kern w:val="0"/>
            <w:sz w:val="24"/>
            <w:szCs w:val="24"/>
            <w:u w:val="single"/>
          </w:rPr>
          <w:t>• 墨西哥联邦卫生风险保护局（COFEPRIS）</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3" w:tgtFrame="_blank" w:history="1">
        <w:r w:rsidRPr="00C13C06">
          <w:rPr>
            <w:rFonts w:ascii="微软雅黑" w:eastAsia="微软雅黑" w:hAnsi="微软雅黑" w:cs="宋体"/>
            <w:color w:val="0000FF"/>
            <w:kern w:val="0"/>
            <w:sz w:val="24"/>
            <w:szCs w:val="24"/>
            <w:u w:val="single"/>
          </w:rPr>
          <w:t>• 哥伦比亚国家药品和食品监督局（INVIMA）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4" w:tgtFrame="_blank" w:history="1">
        <w:r w:rsidRPr="00C13C06">
          <w:rPr>
            <w:rFonts w:ascii="微软雅黑" w:eastAsia="微软雅黑" w:hAnsi="微软雅黑" w:cs="宋体"/>
            <w:color w:val="0000FF"/>
            <w:kern w:val="0"/>
            <w:sz w:val="24"/>
            <w:szCs w:val="24"/>
            <w:u w:val="single"/>
          </w:rPr>
          <w:t>• 摩尔多瓦药监局（MMDA）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5" w:tgtFrame="_blank" w:history="1">
        <w:r w:rsidRPr="00C13C06">
          <w:rPr>
            <w:rFonts w:ascii="微软雅黑" w:eastAsia="微软雅黑" w:hAnsi="微软雅黑" w:cs="宋体"/>
            <w:color w:val="0000FF"/>
            <w:kern w:val="0"/>
            <w:sz w:val="24"/>
            <w:szCs w:val="24"/>
            <w:u w:val="single"/>
          </w:rPr>
          <w:t>• 哈萨克斯坦国家中心（National Center）</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6" w:tgtFrame="_blank" w:history="1">
        <w:r w:rsidRPr="00C13C06">
          <w:rPr>
            <w:rFonts w:ascii="微软雅黑" w:eastAsia="微软雅黑" w:hAnsi="微软雅黑" w:cs="宋体"/>
            <w:color w:val="0000FF"/>
            <w:kern w:val="0"/>
            <w:sz w:val="24"/>
            <w:szCs w:val="24"/>
            <w:u w:val="single"/>
          </w:rPr>
          <w:t>• 马来西亚国家药品管理局（NPRA）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7" w:tgtFrame="_blank" w:history="1">
        <w:r w:rsidRPr="00C13C06">
          <w:rPr>
            <w:rFonts w:ascii="微软雅黑" w:eastAsia="微软雅黑" w:hAnsi="微软雅黑" w:cs="宋体"/>
            <w:color w:val="0000FF"/>
            <w:kern w:val="0"/>
            <w:sz w:val="24"/>
            <w:szCs w:val="24"/>
            <w:u w:val="single"/>
          </w:rPr>
          <w:t>• 俄罗斯联邦卫生监督局（Roszdravnadzor）</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28" w:tgtFrame="_blank" w:history="1">
        <w:r w:rsidRPr="00C13C06">
          <w:rPr>
            <w:rFonts w:ascii="微软雅黑" w:eastAsia="微软雅黑" w:hAnsi="微软雅黑" w:cs="宋体"/>
            <w:color w:val="0000FF"/>
            <w:kern w:val="0"/>
            <w:sz w:val="24"/>
            <w:szCs w:val="24"/>
            <w:u w:val="single"/>
          </w:rPr>
          <w:t>• 南非健康产品管理局（SAHPRA）</w:t>
        </w:r>
      </w:hyperlink>
      <w:r w:rsidRPr="00C13C06">
        <w:rPr>
          <w:rFonts w:ascii="微软雅黑" w:eastAsia="微软雅黑" w:hAnsi="微软雅黑" w:cs="宋体"/>
          <w:kern w:val="0"/>
          <w:sz w:val="24"/>
          <w:szCs w:val="24"/>
        </w:rPr>
        <w:fldChar w:fldCharType="begin"/>
      </w:r>
      <w:r w:rsidRPr="00C13C06">
        <w:rPr>
          <w:rFonts w:ascii="微软雅黑" w:eastAsia="微软雅黑" w:hAnsi="微软雅黑" w:cs="宋体"/>
          <w:kern w:val="0"/>
          <w:sz w:val="24"/>
          <w:szCs w:val="24"/>
        </w:rPr>
        <w:instrText xml:space="preserve"> HYPERLINK "http://www.pharm.am/index.php/en/" \t "_blank" </w:instrText>
      </w:r>
      <w:r w:rsidRPr="00C13C06">
        <w:rPr>
          <w:rFonts w:ascii="微软雅黑" w:eastAsia="微软雅黑" w:hAnsi="微软雅黑" w:cs="宋体"/>
          <w:kern w:val="0"/>
          <w:sz w:val="24"/>
          <w:szCs w:val="24"/>
        </w:rPr>
        <w:fldChar w:fldCharType="separate"/>
      </w:r>
    </w:p>
    <w:p w:rsidR="00C13C06" w:rsidRPr="00C13C06" w:rsidRDefault="00C13C06" w:rsidP="00C13C06">
      <w:pPr>
        <w:widowControl/>
        <w:spacing w:before="100" w:beforeAutospacing="1" w:after="100" w:afterAutospacing="1"/>
        <w:jc w:val="left"/>
        <w:rPr>
          <w:rFonts w:ascii="微软雅黑" w:eastAsia="微软雅黑" w:hAnsi="微软雅黑" w:cs="宋体"/>
          <w:color w:val="0000FF"/>
          <w:kern w:val="0"/>
          <w:sz w:val="24"/>
          <w:szCs w:val="24"/>
          <w:u w:val="single"/>
        </w:rPr>
      </w:pPr>
      <w:r w:rsidRPr="00C13C06">
        <w:rPr>
          <w:rFonts w:ascii="微软雅黑" w:eastAsia="微软雅黑" w:hAnsi="微软雅黑" w:cs="宋体"/>
          <w:color w:val="0000FF"/>
          <w:kern w:val="0"/>
          <w:sz w:val="24"/>
          <w:szCs w:val="24"/>
          <w:u w:val="single"/>
        </w:rPr>
        <w:t>• 亚美尼亚药物和医疗技术专业科学中心（SCDMTE）</w:t>
      </w:r>
    </w:p>
    <w:p w:rsidR="00C13C06" w:rsidRPr="00C13C06" w:rsidRDefault="00C13C06" w:rsidP="00C13C06">
      <w:pPr>
        <w:widowControl/>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fldChar w:fldCharType="end"/>
      </w:r>
      <w:hyperlink r:id="rId29" w:tgtFrame="_blank" w:history="1">
        <w:r w:rsidRPr="00C13C06">
          <w:rPr>
            <w:rFonts w:ascii="微软雅黑" w:eastAsia="微软雅黑" w:hAnsi="微软雅黑" w:cs="宋体"/>
            <w:color w:val="0000FF"/>
            <w:kern w:val="0"/>
            <w:sz w:val="24"/>
            <w:szCs w:val="24"/>
            <w:u w:val="single"/>
          </w:rPr>
          <w:t>• 澳大利亚治疗产品管理局（TGA）</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0" w:tgtFrame="_blank" w:history="1">
        <w:r w:rsidRPr="00C13C06">
          <w:rPr>
            <w:rFonts w:ascii="微软雅黑" w:eastAsia="微软雅黑" w:hAnsi="微软雅黑" w:cs="宋体"/>
            <w:color w:val="0000FF"/>
            <w:kern w:val="0"/>
            <w:sz w:val="24"/>
            <w:szCs w:val="24"/>
            <w:u w:val="single"/>
          </w:rPr>
          <w:t>• 土耳其药品和医疗器械机构(TITCK)</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3.区域协调组织(Regional Harmonisation Initiatives , RHIs)</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1" w:tgtFrame="_blank" w:history="1">
        <w:r w:rsidRPr="00C13C06">
          <w:rPr>
            <w:rFonts w:ascii="微软雅黑" w:eastAsia="微软雅黑" w:hAnsi="微软雅黑" w:cs="宋体"/>
            <w:color w:val="0000FF"/>
            <w:kern w:val="0"/>
            <w:sz w:val="24"/>
            <w:szCs w:val="24"/>
            <w:u w:val="single"/>
          </w:rPr>
          <w:t>• 亚太经济合作组织（APEC）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2" w:tgtFrame="_blank" w:history="1">
        <w:r w:rsidRPr="00C13C06">
          <w:rPr>
            <w:rFonts w:ascii="微软雅黑" w:eastAsia="微软雅黑" w:hAnsi="微软雅黑" w:cs="宋体"/>
            <w:color w:val="0000FF"/>
            <w:kern w:val="0"/>
            <w:sz w:val="24"/>
            <w:szCs w:val="24"/>
            <w:u w:val="single"/>
          </w:rPr>
          <w:t>• 东南亚国家联盟（ASEAN）</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3" w:tgtFrame="_blank" w:history="1">
        <w:r w:rsidRPr="00C13C06">
          <w:rPr>
            <w:rFonts w:ascii="微软雅黑" w:eastAsia="微软雅黑" w:hAnsi="微软雅黑" w:cs="宋体"/>
            <w:color w:val="0000FF"/>
            <w:kern w:val="0"/>
            <w:sz w:val="24"/>
            <w:szCs w:val="24"/>
            <w:u w:val="single"/>
          </w:rPr>
          <w:t>• 东非共同体（EAC）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4" w:tgtFrame="_blank" w:history="1">
        <w:r w:rsidRPr="00C13C06">
          <w:rPr>
            <w:rFonts w:ascii="微软雅黑" w:eastAsia="微软雅黑" w:hAnsi="微软雅黑" w:cs="宋体"/>
            <w:color w:val="0000FF"/>
            <w:kern w:val="0"/>
            <w:sz w:val="24"/>
            <w:szCs w:val="24"/>
            <w:u w:val="single"/>
          </w:rPr>
          <w:t>• 海湾健康委员会（GHC）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5" w:tgtFrame="_blank" w:history="1">
        <w:r w:rsidRPr="00C13C06">
          <w:rPr>
            <w:rFonts w:ascii="微软雅黑" w:eastAsia="微软雅黑" w:hAnsi="微软雅黑" w:cs="宋体"/>
            <w:color w:val="0000FF"/>
            <w:kern w:val="0"/>
            <w:sz w:val="24"/>
            <w:szCs w:val="24"/>
            <w:u w:val="single"/>
          </w:rPr>
          <w:t>• 南非发展协会（SADC）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4.国际制药行业组织(International Pharmaceutical Industry Organisation)</w:t>
      </w:r>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6" w:tgtFrame="_blank" w:history="1">
        <w:r w:rsidRPr="00C13C06">
          <w:rPr>
            <w:rFonts w:ascii="微软雅黑" w:eastAsia="微软雅黑" w:hAnsi="微软雅黑" w:cs="宋体"/>
            <w:color w:val="0000FF"/>
            <w:kern w:val="0"/>
            <w:sz w:val="24"/>
            <w:szCs w:val="24"/>
            <w:u w:val="single"/>
          </w:rPr>
          <w:t>• 活性药物成分协会（APIC）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5.相关或受ICH指导原则影响的国际组织(International Organisation regulated or affected by ICH Guideline(s))</w:t>
      </w:r>
      <w:r w:rsidRPr="00C13C06">
        <w:rPr>
          <w:rFonts w:ascii="微软雅黑" w:eastAsia="微软雅黑" w:hAnsi="微软雅黑" w:cs="宋体"/>
          <w:kern w:val="0"/>
          <w:sz w:val="24"/>
          <w:szCs w:val="24"/>
        </w:rPr>
        <w:fldChar w:fldCharType="begin"/>
      </w:r>
      <w:r w:rsidRPr="00C13C06">
        <w:rPr>
          <w:rFonts w:ascii="微软雅黑" w:eastAsia="微软雅黑" w:hAnsi="微软雅黑" w:cs="宋体"/>
          <w:kern w:val="0"/>
          <w:sz w:val="24"/>
          <w:szCs w:val="24"/>
        </w:rPr>
        <w:instrText xml:space="preserve"> HYPERLINK "https://www.gatesfoundation.org/" \t "_blank" </w:instrText>
      </w:r>
      <w:r w:rsidRPr="00C13C06">
        <w:rPr>
          <w:rFonts w:ascii="微软雅黑" w:eastAsia="微软雅黑" w:hAnsi="微软雅黑" w:cs="宋体"/>
          <w:kern w:val="0"/>
          <w:sz w:val="24"/>
          <w:szCs w:val="24"/>
        </w:rPr>
        <w:fldChar w:fldCharType="separate"/>
      </w:r>
    </w:p>
    <w:p w:rsidR="00C13C06" w:rsidRPr="00C13C06" w:rsidRDefault="00C13C06" w:rsidP="00C13C06">
      <w:pPr>
        <w:widowControl/>
        <w:spacing w:before="100" w:beforeAutospacing="1" w:after="100" w:afterAutospacing="1"/>
        <w:jc w:val="left"/>
        <w:rPr>
          <w:rFonts w:ascii="微软雅黑" w:eastAsia="微软雅黑" w:hAnsi="微软雅黑" w:cs="宋体"/>
          <w:color w:val="0000FF"/>
          <w:kern w:val="0"/>
          <w:sz w:val="24"/>
          <w:szCs w:val="24"/>
          <w:u w:val="single"/>
        </w:rPr>
      </w:pPr>
      <w:r w:rsidRPr="00C13C06">
        <w:rPr>
          <w:rFonts w:ascii="微软雅黑" w:eastAsia="微软雅黑" w:hAnsi="微软雅黑" w:cs="宋体"/>
          <w:color w:val="0000FF"/>
          <w:kern w:val="0"/>
          <w:sz w:val="24"/>
          <w:szCs w:val="24"/>
          <w:u w:val="single"/>
        </w:rPr>
        <w:t>• 比尔和梅琳达•盖茨基金会（Bill&amp; MelindaGates Foundation）</w:t>
      </w:r>
    </w:p>
    <w:p w:rsidR="00C13C06" w:rsidRPr="00C13C06" w:rsidRDefault="00C13C06" w:rsidP="00C13C06">
      <w:pPr>
        <w:widowControl/>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fldChar w:fldCharType="end"/>
      </w:r>
      <w:hyperlink r:id="rId37" w:tgtFrame="_blank" w:history="1">
        <w:r w:rsidRPr="00C13C06">
          <w:rPr>
            <w:rFonts w:ascii="微软雅黑" w:eastAsia="微软雅黑" w:hAnsi="微软雅黑" w:cs="宋体"/>
            <w:color w:val="0000FF"/>
            <w:kern w:val="0"/>
            <w:sz w:val="24"/>
            <w:szCs w:val="24"/>
            <w:u w:val="single"/>
          </w:rPr>
          <w:t>• 国际医学组织理事会（CIOMS）</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8" w:tgtFrame="_blank" w:history="1">
        <w:r w:rsidRPr="00C13C06">
          <w:rPr>
            <w:rFonts w:ascii="微软雅黑" w:eastAsia="微软雅黑" w:hAnsi="微软雅黑" w:cs="宋体"/>
            <w:color w:val="0000FF"/>
            <w:kern w:val="0"/>
            <w:sz w:val="24"/>
            <w:szCs w:val="24"/>
            <w:u w:val="single"/>
          </w:rPr>
          <w:t>• 欧洲药品质量管理局（EDQM）</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39" w:tgtFrame="_blank" w:history="1">
        <w:r w:rsidRPr="00C13C06">
          <w:rPr>
            <w:rFonts w:ascii="微软雅黑" w:eastAsia="微软雅黑" w:hAnsi="微软雅黑" w:cs="宋体"/>
            <w:color w:val="0000FF"/>
            <w:kern w:val="0"/>
            <w:sz w:val="24"/>
            <w:szCs w:val="24"/>
            <w:u w:val="single"/>
          </w:rPr>
          <w:t>• 国际药用辅料协会（IPEC）</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40" w:tgtFrame="_blank" w:history="1">
        <w:r w:rsidRPr="00C13C06">
          <w:rPr>
            <w:rFonts w:ascii="微软雅黑" w:eastAsia="微软雅黑" w:hAnsi="微软雅黑" w:cs="宋体"/>
            <w:color w:val="0000FF"/>
            <w:kern w:val="0"/>
            <w:sz w:val="24"/>
            <w:szCs w:val="24"/>
            <w:u w:val="single"/>
          </w:rPr>
          <w:t>• 国际药品认证合作组织(PIC/S)</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hyperlink r:id="rId41" w:tgtFrame="_blank" w:history="1">
        <w:r w:rsidRPr="00C13C06">
          <w:rPr>
            <w:rFonts w:ascii="微软雅黑" w:eastAsia="微软雅黑" w:hAnsi="微软雅黑" w:cs="宋体"/>
            <w:color w:val="0000FF"/>
            <w:kern w:val="0"/>
            <w:sz w:val="24"/>
            <w:szCs w:val="24"/>
            <w:u w:val="single"/>
          </w:rPr>
          <w:t>• 美国药典委员会(USP)</w:t>
        </w:r>
      </w:hyperlink>
    </w:p>
    <w:p w:rsidR="00C13C06" w:rsidRPr="00C13C06" w:rsidRDefault="00C13C06" w:rsidP="00C13C06">
      <w:pPr>
        <w:widowControl/>
        <w:spacing w:before="100" w:beforeAutospacing="1" w:after="100" w:afterAutospacing="1"/>
        <w:jc w:val="left"/>
        <w:rPr>
          <w:rFonts w:ascii="微软雅黑" w:eastAsia="微软雅黑" w:hAnsi="微软雅黑" w:cs="宋体"/>
          <w:kern w:val="0"/>
          <w:sz w:val="24"/>
          <w:szCs w:val="24"/>
        </w:rPr>
      </w:pPr>
      <w:r w:rsidRPr="00C13C06">
        <w:rPr>
          <w:rFonts w:ascii="微软雅黑" w:eastAsia="微软雅黑" w:hAnsi="微软雅黑" w:cs="宋体"/>
          <w:kern w:val="0"/>
          <w:sz w:val="24"/>
          <w:szCs w:val="24"/>
        </w:rPr>
        <w:t>具体详见《ICH 组织章程》（5.0版）：</w:t>
      </w:r>
    </w:p>
    <w:p w:rsidR="00C13C06" w:rsidRPr="00C13C06" w:rsidRDefault="00C13C06" w:rsidP="00C13C06">
      <w:pPr>
        <w:rPr>
          <w:rFonts w:ascii="微软雅黑" w:eastAsia="微软雅黑" w:hAnsi="微软雅黑" w:hint="eastAsia"/>
        </w:rPr>
      </w:pPr>
      <w:hyperlink r:id="rId42" w:tgtFrame="_blank" w:history="1">
        <w:r w:rsidRPr="00C13C06">
          <w:rPr>
            <w:rStyle w:val="a4"/>
            <w:rFonts w:ascii="微软雅黑" w:eastAsia="微软雅黑" w:hAnsi="微软雅黑" w:cs="Times New Roman"/>
            <w:color w:val="235AAB"/>
            <w:sz w:val="27"/>
            <w:szCs w:val="27"/>
          </w:rPr>
          <w:t>http://www .ich.org/fileadmin/Public_Web_Site/ABOUT_ICH/Articles_Procedures/ArticlesOfAssociation_Approved_2018_0606_v2.pdf</w:t>
        </w:r>
      </w:hyperlink>
    </w:p>
    <w:sectPr w:rsidR="00C13C06" w:rsidRPr="00C13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01"/>
    <w:rsid w:val="00020401"/>
    <w:rsid w:val="009C1D8E"/>
    <w:rsid w:val="00C13C06"/>
    <w:rsid w:val="00D1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6662"/>
  <w15:chartTrackingRefBased/>
  <w15:docId w15:val="{D853FE38-E9F4-477B-B170-0943D4D3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13C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13C06"/>
    <w:rPr>
      <w:rFonts w:ascii="宋体" w:eastAsia="宋体" w:hAnsi="宋体" w:cs="宋体"/>
      <w:b/>
      <w:bCs/>
      <w:kern w:val="0"/>
      <w:sz w:val="36"/>
      <w:szCs w:val="36"/>
    </w:rPr>
  </w:style>
  <w:style w:type="paragraph" w:styleId="a3">
    <w:name w:val="Normal (Web)"/>
    <w:basedOn w:val="a"/>
    <w:uiPriority w:val="99"/>
    <w:semiHidden/>
    <w:unhideWhenUsed/>
    <w:rsid w:val="00C13C06"/>
    <w:pPr>
      <w:widowControl/>
      <w:spacing w:before="100" w:beforeAutospacing="1" w:after="100" w:afterAutospacing="1"/>
      <w:jc w:val="left"/>
    </w:pPr>
    <w:rPr>
      <w:rFonts w:ascii="宋体" w:eastAsia="宋体" w:hAnsi="宋体" w:cs="宋体"/>
      <w:kern w:val="0"/>
      <w:sz w:val="24"/>
      <w:szCs w:val="24"/>
    </w:rPr>
  </w:style>
  <w:style w:type="paragraph" w:customStyle="1" w:styleId="strong">
    <w:name w:val="strong"/>
    <w:basedOn w:val="a"/>
    <w:rsid w:val="00C13C06"/>
    <w:pPr>
      <w:widowControl/>
      <w:spacing w:before="100" w:beforeAutospacing="1" w:after="100" w:afterAutospacing="1"/>
      <w:jc w:val="left"/>
    </w:pPr>
    <w:rPr>
      <w:rFonts w:ascii="宋体" w:eastAsia="宋体" w:hAnsi="宋体" w:cs="宋体"/>
      <w:kern w:val="0"/>
      <w:sz w:val="24"/>
      <w:szCs w:val="24"/>
    </w:rPr>
  </w:style>
  <w:style w:type="paragraph" w:customStyle="1" w:styleId="textindent">
    <w:name w:val="text_indent"/>
    <w:basedOn w:val="a"/>
    <w:rsid w:val="00C13C0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3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7026">
      <w:bodyDiv w:val="1"/>
      <w:marLeft w:val="0"/>
      <w:marRight w:val="0"/>
      <w:marTop w:val="0"/>
      <w:marBottom w:val="0"/>
      <w:divBdr>
        <w:top w:val="none" w:sz="0" w:space="0" w:color="auto"/>
        <w:left w:val="none" w:sz="0" w:space="0" w:color="auto"/>
        <w:bottom w:val="none" w:sz="0" w:space="0" w:color="auto"/>
        <w:right w:val="none" w:sz="0" w:space="0" w:color="auto"/>
      </w:divBdr>
      <w:divsChild>
        <w:div w:id="1109082438">
          <w:marLeft w:val="0"/>
          <w:marRight w:val="0"/>
          <w:marTop w:val="0"/>
          <w:marBottom w:val="0"/>
          <w:divBdr>
            <w:top w:val="none" w:sz="0" w:space="0" w:color="auto"/>
            <w:left w:val="none" w:sz="0" w:space="0" w:color="auto"/>
            <w:bottom w:val="none" w:sz="0" w:space="0" w:color="auto"/>
            <w:right w:val="none" w:sz="0" w:space="0" w:color="auto"/>
          </w:divBdr>
          <w:divsChild>
            <w:div w:id="2007855033">
              <w:marLeft w:val="0"/>
              <w:marRight w:val="0"/>
              <w:marTop w:val="0"/>
              <w:marBottom w:val="0"/>
              <w:divBdr>
                <w:top w:val="none" w:sz="0" w:space="0" w:color="auto"/>
                <w:left w:val="none" w:sz="0" w:space="0" w:color="auto"/>
                <w:bottom w:val="none" w:sz="0" w:space="0" w:color="auto"/>
                <w:right w:val="none" w:sz="0" w:space="0" w:color="auto"/>
              </w:divBdr>
              <w:divsChild>
                <w:div w:id="477842674">
                  <w:marLeft w:val="0"/>
                  <w:marRight w:val="75"/>
                  <w:marTop w:val="0"/>
                  <w:marBottom w:val="0"/>
                  <w:divBdr>
                    <w:top w:val="none" w:sz="0" w:space="0" w:color="auto"/>
                    <w:left w:val="none" w:sz="0" w:space="0" w:color="auto"/>
                    <w:bottom w:val="none" w:sz="0" w:space="0" w:color="auto"/>
                    <w:right w:val="none" w:sz="0" w:space="0" w:color="auto"/>
                  </w:divBdr>
                </w:div>
                <w:div w:id="532766543">
                  <w:marLeft w:val="0"/>
                  <w:marRight w:val="0"/>
                  <w:marTop w:val="0"/>
                  <w:marBottom w:val="0"/>
                  <w:divBdr>
                    <w:top w:val="none" w:sz="0" w:space="0" w:color="auto"/>
                    <w:left w:val="none" w:sz="0" w:space="0" w:color="auto"/>
                    <w:bottom w:val="none" w:sz="0" w:space="0" w:color="auto"/>
                    <w:right w:val="none" w:sz="0" w:space="0" w:color="auto"/>
                  </w:divBdr>
                </w:div>
              </w:divsChild>
            </w:div>
            <w:div w:id="626862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797497">
      <w:bodyDiv w:val="1"/>
      <w:marLeft w:val="0"/>
      <w:marRight w:val="0"/>
      <w:marTop w:val="0"/>
      <w:marBottom w:val="0"/>
      <w:divBdr>
        <w:top w:val="none" w:sz="0" w:space="0" w:color="auto"/>
        <w:left w:val="none" w:sz="0" w:space="0" w:color="auto"/>
        <w:bottom w:val="none" w:sz="0" w:space="0" w:color="auto"/>
        <w:right w:val="none" w:sz="0" w:space="0" w:color="auto"/>
      </w:divBdr>
      <w:divsChild>
        <w:div w:id="197595606">
          <w:marLeft w:val="0"/>
          <w:marRight w:val="0"/>
          <w:marTop w:val="0"/>
          <w:marBottom w:val="0"/>
          <w:divBdr>
            <w:top w:val="none" w:sz="0" w:space="0" w:color="auto"/>
            <w:left w:val="none" w:sz="0" w:space="0" w:color="auto"/>
            <w:bottom w:val="none" w:sz="0" w:space="0" w:color="auto"/>
            <w:right w:val="none" w:sz="0" w:space="0" w:color="auto"/>
          </w:divBdr>
          <w:divsChild>
            <w:div w:id="1327591218">
              <w:marLeft w:val="0"/>
              <w:marRight w:val="0"/>
              <w:marTop w:val="0"/>
              <w:marBottom w:val="0"/>
              <w:divBdr>
                <w:top w:val="none" w:sz="0" w:space="0" w:color="auto"/>
                <w:left w:val="none" w:sz="0" w:space="0" w:color="auto"/>
                <w:bottom w:val="none" w:sz="0" w:space="0" w:color="auto"/>
                <w:right w:val="none" w:sz="0" w:space="0" w:color="auto"/>
              </w:divBdr>
              <w:divsChild>
                <w:div w:id="1565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5160">
      <w:bodyDiv w:val="1"/>
      <w:marLeft w:val="0"/>
      <w:marRight w:val="0"/>
      <w:marTop w:val="0"/>
      <w:marBottom w:val="0"/>
      <w:divBdr>
        <w:top w:val="none" w:sz="0" w:space="0" w:color="auto"/>
        <w:left w:val="none" w:sz="0" w:space="0" w:color="auto"/>
        <w:bottom w:val="none" w:sz="0" w:space="0" w:color="auto"/>
        <w:right w:val="none" w:sz="0" w:space="0" w:color="auto"/>
      </w:divBdr>
      <w:divsChild>
        <w:div w:id="80414631">
          <w:marLeft w:val="0"/>
          <w:marRight w:val="0"/>
          <w:marTop w:val="0"/>
          <w:marBottom w:val="0"/>
          <w:divBdr>
            <w:top w:val="none" w:sz="0" w:space="0" w:color="auto"/>
            <w:left w:val="none" w:sz="0" w:space="0" w:color="auto"/>
            <w:bottom w:val="none" w:sz="0" w:space="0" w:color="auto"/>
            <w:right w:val="none" w:sz="0" w:space="0" w:color="auto"/>
          </w:divBdr>
          <w:divsChild>
            <w:div w:id="702099143">
              <w:marLeft w:val="0"/>
              <w:marRight w:val="75"/>
              <w:marTop w:val="0"/>
              <w:marBottom w:val="0"/>
              <w:divBdr>
                <w:top w:val="none" w:sz="0" w:space="0" w:color="auto"/>
                <w:left w:val="none" w:sz="0" w:space="0" w:color="auto"/>
                <w:bottom w:val="none" w:sz="0" w:space="0" w:color="auto"/>
                <w:right w:val="none" w:sz="0" w:space="0" w:color="auto"/>
              </w:divBdr>
            </w:div>
            <w:div w:id="476580351">
              <w:marLeft w:val="0"/>
              <w:marRight w:val="0"/>
              <w:marTop w:val="0"/>
              <w:marBottom w:val="0"/>
              <w:divBdr>
                <w:top w:val="none" w:sz="0" w:space="0" w:color="auto"/>
                <w:left w:val="none" w:sz="0" w:space="0" w:color="auto"/>
                <w:bottom w:val="none" w:sz="0" w:space="0" w:color="auto"/>
                <w:right w:val="none" w:sz="0" w:space="0" w:color="auto"/>
              </w:divBdr>
            </w:div>
          </w:divsChild>
        </w:div>
        <w:div w:id="633825750">
          <w:marLeft w:val="0"/>
          <w:marRight w:val="0"/>
          <w:marTop w:val="300"/>
          <w:marBottom w:val="0"/>
          <w:divBdr>
            <w:top w:val="none" w:sz="0" w:space="0" w:color="auto"/>
            <w:left w:val="none" w:sz="0" w:space="0" w:color="auto"/>
            <w:bottom w:val="none" w:sz="0" w:space="0" w:color="auto"/>
            <w:right w:val="none" w:sz="0" w:space="0" w:color="auto"/>
          </w:divBdr>
        </w:div>
      </w:divsChild>
    </w:div>
    <w:div w:id="1888033000">
      <w:bodyDiv w:val="1"/>
      <w:marLeft w:val="0"/>
      <w:marRight w:val="0"/>
      <w:marTop w:val="0"/>
      <w:marBottom w:val="0"/>
      <w:divBdr>
        <w:top w:val="none" w:sz="0" w:space="0" w:color="auto"/>
        <w:left w:val="none" w:sz="0" w:space="0" w:color="auto"/>
        <w:bottom w:val="none" w:sz="0" w:space="0" w:color="auto"/>
        <w:right w:val="none" w:sz="0" w:space="0" w:color="auto"/>
      </w:divBdr>
      <w:divsChild>
        <w:div w:id="1482842435">
          <w:marLeft w:val="0"/>
          <w:marRight w:val="0"/>
          <w:marTop w:val="0"/>
          <w:marBottom w:val="0"/>
          <w:divBdr>
            <w:top w:val="none" w:sz="0" w:space="0" w:color="auto"/>
            <w:left w:val="none" w:sz="0" w:space="0" w:color="auto"/>
            <w:bottom w:val="none" w:sz="0" w:space="0" w:color="auto"/>
            <w:right w:val="none" w:sz="0" w:space="0" w:color="auto"/>
          </w:divBdr>
        </w:div>
      </w:divsChild>
    </w:div>
    <w:div w:id="20496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rma.org/" TargetMode="External"/><Relationship Id="rId13" Type="http://schemas.openxmlformats.org/officeDocument/2006/relationships/hyperlink" Target="http://www.hsa.gov.sg/content/hsa/en.html" TargetMode="External"/><Relationship Id="rId18" Type="http://schemas.openxmlformats.org/officeDocument/2006/relationships/hyperlink" Target="https://www.ifpma.org/" TargetMode="External"/><Relationship Id="rId26" Type="http://schemas.openxmlformats.org/officeDocument/2006/relationships/hyperlink" Target="http://npra.moh.gov.my/en/" TargetMode="External"/><Relationship Id="rId39" Type="http://schemas.openxmlformats.org/officeDocument/2006/relationships/hyperlink" Target="http://www.ipec.org/" TargetMode="External"/><Relationship Id="rId3" Type="http://schemas.openxmlformats.org/officeDocument/2006/relationships/webSettings" Target="webSettings.xml"/><Relationship Id="rId21" Type="http://schemas.openxmlformats.org/officeDocument/2006/relationships/hyperlink" Target="http://www.cecmed.cu/" TargetMode="External"/><Relationship Id="rId34" Type="http://schemas.openxmlformats.org/officeDocument/2006/relationships/hyperlink" Target="http://www.ghc.sa/" TargetMode="External"/><Relationship Id="rId42" Type="http://schemas.openxmlformats.org/officeDocument/2006/relationships/hyperlink" Target="http://www.ich.org/fileadmin/Public_Web_Site/ABOUT_ICH/Articles_Procedures/ArticlesOfAssociation_Approved_2018_0606_v2.pdf" TargetMode="External"/><Relationship Id="rId7" Type="http://schemas.openxmlformats.org/officeDocument/2006/relationships/hyperlink" Target="http://www.jpma.or.jp/" TargetMode="External"/><Relationship Id="rId12" Type="http://schemas.openxmlformats.org/officeDocument/2006/relationships/hyperlink" Target="http://samr.saic.gov.cn/" TargetMode="External"/><Relationship Id="rId17" Type="http://schemas.openxmlformats.org/officeDocument/2006/relationships/hyperlink" Target="http://www.wsmi.org/" TargetMode="External"/><Relationship Id="rId25" Type="http://schemas.openxmlformats.org/officeDocument/2006/relationships/hyperlink" Target="http://dari.kz/" TargetMode="External"/><Relationship Id="rId33" Type="http://schemas.openxmlformats.org/officeDocument/2006/relationships/hyperlink" Target="http://www.eac.int/" TargetMode="External"/><Relationship Id="rId38" Type="http://schemas.openxmlformats.org/officeDocument/2006/relationships/hyperlink" Target="https://www.edqm.eu/" TargetMode="External"/><Relationship Id="rId2" Type="http://schemas.openxmlformats.org/officeDocument/2006/relationships/settings" Target="settings.xml"/><Relationship Id="rId16" Type="http://schemas.openxmlformats.org/officeDocument/2006/relationships/hyperlink" Target="http://www.igbamedicines.org/" TargetMode="External"/><Relationship Id="rId20" Type="http://schemas.openxmlformats.org/officeDocument/2006/relationships/hyperlink" Target="http://www.cdsco.nic.in/forms/Default.aspx" TargetMode="External"/><Relationship Id="rId29" Type="http://schemas.openxmlformats.org/officeDocument/2006/relationships/hyperlink" Target="https://www.tga.gov.au/" TargetMode="External"/><Relationship Id="rId41" Type="http://schemas.openxmlformats.org/officeDocument/2006/relationships/hyperlink" Target="https://www.usp.org/" TargetMode="External"/><Relationship Id="rId1" Type="http://schemas.openxmlformats.org/officeDocument/2006/relationships/styles" Target="styles.xml"/><Relationship Id="rId6" Type="http://schemas.openxmlformats.org/officeDocument/2006/relationships/hyperlink" Target="https://www.efpia.eu/" TargetMode="External"/><Relationship Id="rId11" Type="http://schemas.openxmlformats.org/officeDocument/2006/relationships/hyperlink" Target="http://www.anvisa.gov.br/" TargetMode="External"/><Relationship Id="rId24" Type="http://schemas.openxmlformats.org/officeDocument/2006/relationships/hyperlink" Target="http://www.amed.md/en" TargetMode="External"/><Relationship Id="rId32" Type="http://schemas.openxmlformats.org/officeDocument/2006/relationships/hyperlink" Target="http://asean.org/" TargetMode="External"/><Relationship Id="rId37" Type="http://schemas.openxmlformats.org/officeDocument/2006/relationships/hyperlink" Target="https://cioms.ch/" TargetMode="External"/><Relationship Id="rId40" Type="http://schemas.openxmlformats.org/officeDocument/2006/relationships/hyperlink" Target="https://www.picscheme.org/" TargetMode="External"/><Relationship Id="rId5" Type="http://schemas.openxmlformats.org/officeDocument/2006/relationships/hyperlink" Target="https://www.fda.gov/" TargetMode="External"/><Relationship Id="rId15" Type="http://schemas.openxmlformats.org/officeDocument/2006/relationships/hyperlink" Target="https://www.bio.org/" TargetMode="External"/><Relationship Id="rId23" Type="http://schemas.openxmlformats.org/officeDocument/2006/relationships/hyperlink" Target="https://www.invima.gov.co/" TargetMode="External"/><Relationship Id="rId28" Type="http://schemas.openxmlformats.org/officeDocument/2006/relationships/hyperlink" Target="http://www.mccza.com/" TargetMode="External"/><Relationship Id="rId36" Type="http://schemas.openxmlformats.org/officeDocument/2006/relationships/hyperlink" Target="http://www.apic.cefic.org/" TargetMode="External"/><Relationship Id="rId10" Type="http://schemas.openxmlformats.org/officeDocument/2006/relationships/hyperlink" Target="https://www.swissmedic.ch/swissmedic/de/home.html" TargetMode="External"/><Relationship Id="rId19" Type="http://schemas.openxmlformats.org/officeDocument/2006/relationships/hyperlink" Target="http://www.who.int/" TargetMode="External"/><Relationship Id="rId31" Type="http://schemas.openxmlformats.org/officeDocument/2006/relationships/hyperlink" Target="https://www.apec.org/" TargetMode="External"/><Relationship Id="rId44" Type="http://schemas.openxmlformats.org/officeDocument/2006/relationships/theme" Target="theme/theme1.xml"/><Relationship Id="rId4" Type="http://schemas.openxmlformats.org/officeDocument/2006/relationships/hyperlink" Target="https://ec.europa.eu/health/human-use_en" TargetMode="External"/><Relationship Id="rId9" Type="http://schemas.openxmlformats.org/officeDocument/2006/relationships/hyperlink" Target="https://www.canada.ca/en/health-canada.html" TargetMode="External"/><Relationship Id="rId14" Type="http://schemas.openxmlformats.org/officeDocument/2006/relationships/hyperlink" Target="http://www.mfds.go.kr/index.do;jsessionid=p2M6drPsC5OzfN59nHlj0yv1amboIoDgpTD93MmMp2denPpDMoHQBBmxCDU1q5AK.xwebap_servlet_engine11" TargetMode="External"/><Relationship Id="rId22" Type="http://schemas.openxmlformats.org/officeDocument/2006/relationships/hyperlink" Target="https://www.gob.mx/cofepris" TargetMode="External"/><Relationship Id="rId27" Type="http://schemas.openxmlformats.org/officeDocument/2006/relationships/hyperlink" Target="http://www.roszdravnadzor.ru/" TargetMode="External"/><Relationship Id="rId30" Type="http://schemas.openxmlformats.org/officeDocument/2006/relationships/hyperlink" Target="http://www.titck.gov.tr/" TargetMode="External"/><Relationship Id="rId35" Type="http://schemas.openxmlformats.org/officeDocument/2006/relationships/hyperlink" Target="http://www.sadc.int/"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 Ya</dc:creator>
  <cp:keywords/>
  <dc:description/>
  <cp:lastModifiedBy>Za Ya</cp:lastModifiedBy>
  <cp:revision>2</cp:revision>
  <dcterms:created xsi:type="dcterms:W3CDTF">2018-11-22T07:56:00Z</dcterms:created>
  <dcterms:modified xsi:type="dcterms:W3CDTF">2018-11-22T08:08:00Z</dcterms:modified>
</cp:coreProperties>
</file>