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tbl>
      <w:tblPr>
        <w:tblStyle w:val="a6"/>
        <w:tblpPr w:leftFromText="180" w:rightFromText="180" vertAnchor="page" horzAnchor="page" w:tblpX="5554" w:tblpY="161"/>
        <w:tblW w:w="0" w:type="auto"/>
        <w:tblLayout w:type="fixed"/>
        <w:tblLook w:val="04A0"/>
      </w:tblPr>
      <w:tblGrid>
        <w:gridCol w:w="283"/>
        <w:gridCol w:w="283"/>
        <w:gridCol w:w="282"/>
        <w:gridCol w:w="312"/>
        <w:gridCol w:w="256"/>
        <w:gridCol w:w="284"/>
        <w:gridCol w:w="283"/>
        <w:gridCol w:w="284"/>
        <w:gridCol w:w="284"/>
      </w:tblGrid>
      <w:tr w:rsidR="00AD10A2" w:rsidTr="00CB73A4">
        <w:trPr>
          <w:trHeight w:hRule="exact" w:val="330"/>
        </w:trPr>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69" w:right="-239"/>
              <w:rPr/>
            </w:pPr>
            <w:r>
              <w:rPr>
                <w:rFonts w:ascii="宋体" w:hAnsi="宋体" w:cs="宋体"/>
                <w:u w:val="none"/>
                <w:sz w:val="28"/>
                <w:position w:val="0"/>
                <w:color w:val="000000"/>
                <w:noProof w:val="true"/>
                <w:spacing w:val="-6"/>
                <w:w w:val="100"/>
              </w:rPr>
              <w:t>【</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4" w:right="-239"/>
              <w:rPr/>
            </w:pPr>
            <w:r>
              <w:rPr>
                <w:rFonts w:ascii="Arial" w:hAnsi="Arial" w:cs="Arial"/>
                <w:u w:val="none"/>
                <w:sz w:val="28"/>
                <w:position w:val="0"/>
                <w:color w:val="000000"/>
                <w:noProof w:val="true"/>
                <w:spacing w:val="6"/>
                <w:w w:val="100"/>
              </w:rPr>
              <w:t>H</w:t>
            </w:r>
          </w:p>
        </w:tc>
        <w:tc>
          <w:tcPr>
            <w:tcW w:w="2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5" w:right="-239"/>
              <w:rPr/>
            </w:pPr>
            <w:r>
              <w:rPr>
                <w:rFonts w:ascii="宋体" w:hAnsi="宋体" w:cs="宋体"/>
                <w:u w:val="none"/>
                <w:sz w:val="28"/>
                <w:position w:val="0"/>
                <w:color w:val="000000"/>
                <w:noProof w:val="true"/>
                <w:spacing w:val="-6"/>
                <w:w w:val="100"/>
              </w:rPr>
              <w:t>】</w:t>
            </w:r>
          </w:p>
        </w:tc>
        <w:tc>
          <w:tcPr>
            <w:tcW w:w="3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47" w:right="-239"/>
              <w:rPr/>
            </w:pPr>
            <w:r>
              <w:rPr>
                <w:rFonts w:ascii="Arial" w:hAnsi="Arial" w:cs="Arial"/>
                <w:u w:val="none"/>
                <w:sz w:val="28"/>
                <w:position w:val="0"/>
                <w:color w:val="000000"/>
                <w:noProof w:val="true"/>
                <w:spacing w:val="-6"/>
                <w:w w:val="100"/>
              </w:rPr>
              <w:t>G</w:t>
            </w:r>
          </w:p>
        </w:tc>
        <w:tc>
          <w:tcPr>
            <w:tcW w:w="2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48" w:right="-239"/>
              <w:rPr/>
            </w:pPr>
            <w:r>
              <w:rPr>
                <w:rFonts w:ascii="Arial" w:hAnsi="Arial" w:cs="Arial"/>
                <w:u w:val="none"/>
                <w:sz w:val="28"/>
                <w:position w:val="0"/>
                <w:color w:val="000000"/>
                <w:noProof w:val="true"/>
                <w:spacing w:val="-33"/>
                <w:w w:val="100"/>
              </w:rPr>
              <w:t>P</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5" w:right="-239"/>
              <w:rPr/>
            </w:pPr>
            <w:r>
              <w:rPr>
                <w:rFonts w:ascii="Arial" w:hAnsi="Arial" w:cs="Arial"/>
                <w:u w:val="none"/>
                <w:sz w:val="28"/>
                <w:position w:val="0"/>
                <w:color w:val="000000"/>
                <w:noProof w:val="true"/>
                <w:spacing w:val="6"/>
                <w:w w:val="100"/>
              </w:rPr>
              <w:t>H</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75" w:right="-239"/>
              <w:rPr/>
            </w:pPr>
            <w:r>
              <w:rPr>
                <w:rFonts w:ascii="Arial" w:hAnsi="Arial" w:cs="Arial"/>
                <w:u w:val="none"/>
                <w:sz w:val="28"/>
                <w:position w:val="0"/>
                <w:color w:val="000000"/>
                <w:noProof w:val="true"/>
                <w:spacing w:val="-28"/>
                <w:w w:val="100"/>
              </w:rPr>
              <w:t>4</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97" w:right="-239"/>
              <w:rPr/>
            </w:pPr>
            <w:r>
              <w:rPr>
                <w:rFonts w:ascii="Arial" w:hAnsi="Arial" w:cs="Arial"/>
                <w:u w:val="none"/>
                <w:sz w:val="28"/>
                <w:position w:val="0"/>
                <w:color w:val="000000"/>
                <w:noProof w:val="true"/>
                <w:spacing w:val="-8"/>
                <w:w w:val="100"/>
              </w:rPr>
              <w:t>-</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76" w:right="-239"/>
              <w:rPr/>
            </w:pPr>
            <w:r>
              <w:rPr>
                <w:rFonts w:ascii="Arial" w:hAnsi="Arial" w:cs="Arial"/>
                <w:u w:val="none"/>
                <w:sz w:val="28"/>
                <w:position w:val="0"/>
                <w:color w:val="000000"/>
                <w:noProof w:val="true"/>
                <w:spacing w:val="-28"/>
                <w:w w:val="100"/>
              </w:rPr>
              <w:t>1</w:t>
            </w:r>
          </w:p>
        </w:tc>
      </w:tr>
    </w:tbl>
    <w:p w:rsidR="005A76FB" w:rsidRDefault="005A76FB" w:rsidP="005A76FB">
      <w:pPr>
        <w:spacing w:before="0" w:after="0" w:lineRule="exact" w:line="119"/>
        <w:ind/>
        <w:rPr/>
      </w:pPr>
    </w:p>
    <w:p w:rsidR="005A76FB" w:rsidRDefault="005A76FB" w:rsidP="005A76FB">
      <w:pPr>
        <w:widowControl/>
        <w:jc w:val="left"/>
        <w:rPr/>
        <w:sectPr w:rsidR="005A76FB" w:rsidSect="005A76FB">
          <w:type w:val="continuous"/>
          <w:pgSz w:w="11900" w:h="16841"/>
          <w:pgMar w:top="1440" w:right="1440" w:bottom="1200" w:left="1800" w:header="0" w:footer="0" w:gutter="0"/>
          <w:docGrid w:type="lines" w:linePitch="312"/>
        </w:sectPr>
      </w:pPr>
    </w:p>
    <w:p w:rsidR="005A76FB" w:rsidRDefault="005A76FB" w:rsidP="005A76FB">
      <w:pPr>
        <w:spacing w:before="0" w:after="0" w:line="364" w:lineRule="exact"/>
        <w:ind w:left="3542" w:firstLine="0"/>
        <w:jc w:val="left"/>
        <w:rPr/>
      </w:pPr>
    </w:p>
    <w:p w:rsidR="005A76FB" w:rsidRDefault="005A76FB" w:rsidP="005A76FB">
      <w:pPr>
        <w:widowControl/>
        <w:jc w:val="left"/>
        <w:rPr/>
        <w:sectPr w:rsidR="005A76FB" w:rsidSect="005A76FB">
          <w:type w:val="continuous"/>
          <w:pgSz w:w="11900" w:h="16841"/>
          <w:pgMar w:top="1440" w:right="1440" w:bottom="1200" w:left="1800" w:header="0" w:footer="0" w:gutter="0"/>
          <w:cols w:num="1" w:equalWidth="0">
            <w:col w:w="8660" w:space="0"/>
          </w:cols>
          <w:docGrid w:type="lines" w:linePitch="312"/>
        </w:sect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648" w:lineRule="exact"/>
        <w:ind w:firstLine="0" w:left="629"/>
        <w:jc w:val="left"/>
        <w:rPr/>
      </w:pPr>
      <w:r>
        <w:rPr>
          <w:noProof/>
        </w:rPr>
        <w:pict>
          <v:shapetype id="_x0000_t202" coordsize="21600,21600" o:spt="202" path="m,l,21600r21600,l21600,xe">
            <v:stroke joinstyle="miter"/>
            <v:path gradientshapeok="t" o:connecttype="rect"/>
          </v:shapetype>
          <v:shape id="wondershare_1" type="#_x0000_t202" style="position:absolute;left:0;text-align:left;margin-left:267.12pt;margin-top:77.9555pt;width:118.12001pt;height:23.1879807pt;z-index:-1;mso-position-horizontal-relative:page;mso-position-vertical-relative:page" filled="f" stroked="f">
            <v:textbox style="" inset="0,0,0,0">
              <w:txbxContent>
                <w:p w:rsidR="005A76FB" w:rsidRDefault="005A76FB">
                  <w:pPr>
                    <w:autoSpaceDE w:val="0"/>
                    <w:autoSpaceDN w:val="0"/>
                    <w:adjustRightInd w:val="0"/>
                    <w:spacing w:before="0" w:after="0" w:line="364" w:lineRule="exact"/>
                    <w:jc w:val="left"/>
                    <w:rPr/>
                  </w:pPr>
                  <w:r>
                    <w:rPr>
                      <w:rFonts w:ascii="宋体" w:eastAsia="宋体" w:hAnsi="宋体" w:cs="宋体"/>
                      <w:u w:val="none"/>
                      <w:sz w:val="28"/>
                      <w:position w:val="0"/>
                      <w:color w:val="000000"/>
                      <w:noProof w:val="true"/>
                      <w:spacing w:val="-5"/>
                      <w:w w:val="100"/>
                    </w:rPr>
                    <w:t>指导原则编号：</w:t>
                  </w:r>
                </w:p>
              </w:txbxContent>
            </v:textbox>
            <w10:wrap anchorx="page" anchory="page"/>
          </v:shape>
        </w:pict>
      </w:r>
      <w:r>
        <w:rPr>
          <w:rFonts w:ascii="宋体" w:eastAsia="宋体" w:hAnsi="宋体" w:cs="宋体"/>
          <w:u w:val="none"/>
          <w:sz w:val="44"/>
          <w:position w:val="0"/>
          <w:color w:val="000000"/>
          <w:noProof w:val="true"/>
          <w:spacing w:val="-5"/>
          <w:w w:val="100"/>
        </w:rPr>
        <w:t>化学药物制剂研究基本技术指导原则</w:t>
      </w:r>
    </w:p>
    <w:p w:rsidR="005A76FB" w:rsidRDefault="005A76FB" w:rsidP="005A76FB">
      <w:pPr>
        <w:widowControl/>
        <w:jc w:val="left"/>
        <w:rPr/>
        <w:sectPr w:rsidR="005A76FB" w:rsidSect="005A76FB">
          <w:type w:val="continuous"/>
          <w:pgSz w:w="11900" w:h="16841"/>
          <w:pgMar w:top="1440" w:right="1440" w:bottom="1200" w:left="1800" w:header="0" w:footer="0" w:gutter="0"/>
          <w:cols w:num="1" w:equalWidth="0">
            <w:col w:w="8660" w:space="0"/>
          </w:cols>
          <w:docGrid w:type="lines" w:linePitch="312"/>
        </w:sect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Rule="exact" w:line="240"/>
        <w:ind w:firstLine="0" w:left="629"/>
        <w:rPr/>
      </w:pPr>
    </w:p>
    <w:p w:rsidR="005A76FB" w:rsidRDefault="005A76FB" w:rsidP="005A76FB">
      <w:pPr>
        <w:spacing w:before="0" w:after="0" w:line="486" w:lineRule="exact"/>
        <w:ind w:firstLine="0" w:left="2891"/>
        <w:jc w:val="left"/>
        <w:rPr/>
      </w:pPr>
      <w:r>
        <w:rPr>
          <w:rFonts w:ascii="宋体" w:hAnsi="宋体" w:cs="宋体"/>
          <w:u w:val="none"/>
          <w:sz w:val="36"/>
          <w:position w:val="0"/>
          <w:color w:val="000000"/>
          <w:noProof w:val="true"/>
          <w:spacing w:val="-5"/>
          <w:w w:val="100"/>
        </w:rPr>
        <w:t>二○○五年三月</w:t>
      </w:r>
    </w:p>
    <w:p w:rsidR="005A76FB" w:rsidRDefault="005A76FB" w:rsidP="005A76FB">
      <w:pPr>
        <w:widowControl/>
        <w:jc w:val="left"/>
        <w:rPr/>
        <w:sectPr w:rsidR="005A76FB" w:rsidSect="005A76FB">
          <w:type w:val="continuous"/>
          <w:pgSz w:w="11900" w:h="16841"/>
          <w:pgMar w:top="1440" w:right="1440" w:bottom="1200" w:left="1800" w:header="0" w:footer="0" w:gutter="0"/>
          <w:cols w:num="1" w:equalWidth="0">
            <w:col w:w="8660" w:space="0"/>
          </w:cols>
          <w:docGrid w:type="lines" w:linePitch="312"/>
        </w:sectPr>
      </w:pPr>
    </w:p>
    <w:bookmarkStart w:id="2" w:name="2"/>
    <w:bookmarkEnd w:id="2"/>
    <w:p w:rsidR="005A76FB" w:rsidRDefault="005A76FB" w:rsidP="005A76FB">
      <w:pPr>
        <w:spacing w:before="0" w:after="0" w:lineRule="exact" w:line="478"/>
        <w:ind/>
        <w:rPr/>
      </w:pPr>
    </w:p>
    <w:p w:rsidR="005A76FB" w:rsidRDefault="005A76FB" w:rsidP="005A76FB">
      <w:pPr>
        <w:widowControl/>
        <w:jc w:val="left"/>
        <w:rPr/>
        <w:sectPr w:rsidR="005A76FB" w:rsidSect="005A76FB">
          <w:type w:val="continuous"/>
          <w:pgSz w:w="11900" w:h="16840"/>
          <w:pgMar w:top="1440" w:right="619" w:bottom="1200" w:left="979" w:header="0" w:footer="0" w:gutter="0"/>
          <w:docGrid w:type="lines" w:linePitch="312"/>
        </w:sectPr>
      </w:pPr>
    </w:p>
    <w:p w:rsidR="005A76FB" w:rsidRDefault="005A76FB" w:rsidP="005A76FB">
      <w:pPr>
        <w:spacing w:before="0" w:after="0" w:line="573" w:lineRule="exact"/>
        <w:ind w:left="4092" w:firstLine="0"/>
        <w:jc w:val="left"/>
        <w:rPr/>
      </w:pPr>
      <w:r>
        <w:rPr>
          <w:rFonts w:ascii="宋体" w:eastAsia="宋体" w:hAnsi="宋体" w:cs="宋体"/>
          <w:u w:val="none"/>
          <w:sz w:val="44"/>
          <w:position w:val="0"/>
          <w:color w:val="000000"/>
          <w:noProof w:val="true"/>
          <w:spacing w:val="-6"/>
          <w:w w:val="100"/>
        </w:rPr>
        <w:t>目</w:t>
      </w:r>
    </w:p>
    <w:p w:rsidR="005A76FB" w:rsidRDefault="005A76FB" w:rsidP="005A76FB">
      <w:pPr>
        <w:spacing w:before="0" w:after="0" w:line="573" w:lineRule="exact"/>
        <w:ind w:firstLine="0"/>
        <w:jc w:val="left"/>
        <w:rPr/>
      </w:pPr>
      <w:r w:rsidRPr="00B3349A">
        <w:rPr/>
        <w:br w:type="column"/>
        <w:t/>
      </w:r>
      <w:r w:rsidRPr="00B3349A">
        <w:rPr/>
        <w:lastRenderedPageBreak/>
        <w:t/>
      </w:r>
      <w:r>
        <w:rPr>
          <w:rFonts w:ascii="宋体" w:eastAsia="宋体" w:hAnsi="宋体" w:cs="宋体"/>
          <w:u w:val="none"/>
          <w:sz w:val="44"/>
          <w:position w:val="0"/>
          <w:color w:val="000000"/>
          <w:noProof w:val="true"/>
          <w:spacing w:val="-6"/>
          <w:w w:val="100"/>
        </w:rPr>
        <w:t>录</w:t>
      </w:r>
    </w:p>
    <w:p w:rsidR="005A76FB" w:rsidRDefault="005A76FB" w:rsidP="005A76FB">
      <w:pPr>
        <w:widowControl/>
        <w:jc w:val="left"/>
        <w:rPr/>
        <w:sectPr w:rsidR="005A76FB" w:rsidSect="005A76FB">
          <w:type w:val="continuous"/>
          <w:pgSz w:w="11900" w:h="16840"/>
          <w:pgMar w:top="1440" w:right="619" w:bottom="1200" w:left="979" w:header="0" w:footer="0" w:gutter="0"/>
          <w:cols w:num="2" w:equalWidth="0">
            <w:col w:w="5415" w:space="0"/>
            <w:col w:w="4887"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375"/>
        <w:ind w:firstLine="0"/>
        <w:rPr/>
      </w:pPr>
    </w:p>
    <w:p w:rsidR="005A76FB" w:rsidRDefault="005A76FB" w:rsidP="005A76FB">
      <w:pPr>
        <w:widowControl/>
        <w:jc w:val="left"/>
        <w:rPr/>
        <w:sectPr w:rsidR="005A76FB" w:rsidSect="005A76FB">
          <w:type w:val="continuous"/>
          <w:pgSz w:w="11900" w:h="16840"/>
          <w:pgMar w:top="1440" w:right="619" w:bottom="1200" w:left="979" w:header="0" w:footer="0" w:gutter="0"/>
          <w:docGrid w:type="lines" w:linePitch="312"/>
        </w:sectPr>
      </w:pPr>
    </w:p>
    <w:p w:rsidR="005A76FB" w:rsidRDefault="005A76FB" w:rsidP="005A76FB">
      <w:pPr>
        <w:tabs>
          <w:tab w:val="left" w:pos="9730"/>
        </w:tabs>
        <w:spacing w:before="0" w:after="0" w:line="390" w:lineRule="exact"/>
        <w:ind w:firstLine="0" w:left="440"/>
        <w:jc w:val="left"/>
        <w:rPr/>
      </w:pPr>
      <w:r>
        <w:rPr>
          <w:rFonts w:ascii="宋体" w:hAnsi="宋体" w:cs="宋体"/>
          <w:u w:val="none"/>
          <w:sz w:val="28"/>
          <w:position w:val="0"/>
          <w:color w:val="000000"/>
          <w:noProof w:val="true"/>
          <w:spacing w:val="-6"/>
          <w:w w:val="100"/>
        </w:rPr>
        <w:t>一、</w:t>
      </w:r>
      <w:r>
        <w:rPr>
          <w:rFonts w:ascii="宋体" w:eastAsia="宋体" w:hAnsi="宋体" w:cs="宋体"/>
          <w:u w:val="none"/>
          <w:sz w:val="30"/>
          <w:position w:val="0"/>
          <w:color w:val="000000"/>
          <w:noProof w:val="true"/>
          <w:spacing w:val="-6"/>
          <w:w w:val="100"/>
        </w:rPr>
        <w:t>概述</w:t>
      </w:r>
      <w:r>
        <w:rPr>
          <w:rFonts w:ascii="Calibri" w:hAnsi="Calibri" w:cs="Calibri"/>
          <w:u w:val="none"/>
          <w:sz w:val="30"/>
          <w:color w:val="000000"/>
          <w:noProof w:val="true"/>
          <w:spacing w:val="-7"/>
          <w:w w:val="100"/>
        </w:rPr>
        <w:t> </w:t>
      </w:r>
      <w:r>
        <w:rPr>
          <w:rFonts w:ascii="Arial" w:hAnsi="Arial" w:cs="Arial"/>
          <w:u w:val="none"/>
          <w:sz w:val="30"/>
          <w:position w:val="0"/>
          <w:color w:val="000000"/>
          <w:noProof w:val="true"/>
          <w:spacing w:val="-19"/>
          <w:w w:val="100"/>
        </w:rPr>
        <w:t>..........................................................................................................................</w:t>
      </w:r>
      <w:r>
        <w:rPr>
          <w:rFonts w:ascii="Calibri" w:hAnsi="Calibri" w:cs="Calibri"/>
          <w:u w:val="none"/>
          <w:sz w:val="30"/>
          <w:color w:val="000000"/>
          <w:noProof w:val="true"/>
          <w:spacing w:val="-33"/>
          <w:w w:val="100"/>
        </w:rPr>
        <w:t> </w:t>
      </w:r>
      <w:r>
        <w:rPr>
          <w:rFonts w:cs="Calibri"/>
          <w:w w:val="100"/>
        </w:rPr>
        <w:tab/>
      </w:r>
      <w:r>
        <w:rPr>
          <w:rFonts w:ascii="Arial" w:hAnsi="Arial" w:cs="Arial"/>
          <w:u w:val="none"/>
          <w:sz w:val="30"/>
          <w:position w:val="0"/>
          <w:color w:val="000000"/>
          <w:noProof w:val="true"/>
          <w:spacing w:val="-29"/>
          <w:w w:val="100"/>
        </w:rPr>
        <w:t>1</w:t>
      </w:r>
    </w:p>
    <w:p w:rsidR="005A76FB" w:rsidRDefault="005A76FB" w:rsidP="005A76FB">
      <w:pPr>
        <w:spacing w:before="0" w:after="0" w:lineRule="exact" w:line="234"/>
        <w:ind w:firstLine="0" w:left="440"/>
        <w:rPr/>
      </w:pPr>
    </w:p>
    <w:p w:rsidR="005A76FB" w:rsidRDefault="005A76FB" w:rsidP="005A76FB">
      <w:pPr>
        <w:tabs>
          <w:tab w:val="left" w:pos="9740"/>
        </w:tabs>
        <w:spacing w:before="0" w:after="0" w:line="390" w:lineRule="exact"/>
        <w:ind w:firstLine="0" w:left="440"/>
        <w:jc w:val="left"/>
        <w:rPr/>
      </w:pPr>
      <w:r>
        <w:rPr>
          <w:rFonts w:ascii="宋体" w:hAnsi="宋体" w:cs="宋体"/>
          <w:u w:val="none"/>
          <w:sz w:val="30"/>
          <w:position w:val="0"/>
          <w:color w:val="000000"/>
          <w:noProof w:val="true"/>
          <w:spacing w:val="-6"/>
          <w:w w:val="100"/>
        </w:rPr>
        <w:t>二、制剂研究的基本内容</w:t>
      </w:r>
      <w:r>
        <w:rPr>
          <w:rFonts w:ascii="Calibri" w:hAnsi="Calibri" w:cs="Calibri"/>
          <w:u w:val="none"/>
          <w:sz w:val="30"/>
          <w:color w:val="000000"/>
          <w:noProof w:val="true"/>
          <w:spacing w:val="-36"/>
          <w:w w:val="100"/>
        </w:rPr>
        <w:t> </w:t>
      </w:r>
      <w:r>
        <w:rPr>
          <w:rFonts w:ascii="Arial" w:hAnsi="Arial" w:cs="Arial"/>
          <w:u w:val="none"/>
          <w:sz w:val="30"/>
          <w:position w:val="0"/>
          <w:color w:val="000000"/>
          <w:noProof w:val="true"/>
          <w:spacing w:val="-19"/>
          <w:w w:val="100"/>
        </w:rPr>
        <w:t>..........................................................................................</w:t>
      </w:r>
      <w:r>
        <w:rPr>
          <w:rFonts w:ascii="Calibri" w:hAnsi="Calibri" w:cs="Calibri"/>
          <w:u w:val="none"/>
          <w:sz w:val="30"/>
          <w:color w:val="000000"/>
          <w:noProof w:val="true"/>
          <w:spacing w:val="-33"/>
          <w:w w:val="100"/>
        </w:rPr>
        <w:t> </w:t>
      </w:r>
      <w:r>
        <w:rPr>
          <w:rFonts w:cs="Calibri"/>
          <w:w w:val="100"/>
        </w:rPr>
        <w:tab/>
      </w:r>
      <w:r>
        <w:rPr>
          <w:rFonts w:ascii="Arial" w:hAnsi="Arial" w:cs="Arial"/>
          <w:u w:val="none"/>
          <w:sz w:val="30"/>
          <w:position w:val="0"/>
          <w:color w:val="000000"/>
          <w:noProof w:val="true"/>
          <w:spacing w:val="-29"/>
          <w:w w:val="100"/>
        </w:rPr>
        <w:t>1</w:t>
      </w:r>
    </w:p>
    <w:p w:rsidR="005A76FB" w:rsidRDefault="005A76FB" w:rsidP="005A76FB">
      <w:pPr>
        <w:spacing w:before="0" w:after="0" w:lineRule="exact" w:line="234"/>
        <w:ind w:firstLine="0" w:left="440"/>
        <w:rPr/>
      </w:pPr>
    </w:p>
    <w:p w:rsidR="005A76FB" w:rsidRDefault="005A76FB" w:rsidP="005A76FB">
      <w:pPr>
        <w:tabs>
          <w:tab w:val="left" w:pos="9732"/>
        </w:tabs>
        <w:spacing w:before="0" w:after="0" w:line="390" w:lineRule="exact"/>
        <w:ind w:firstLine="0" w:left="440"/>
        <w:jc w:val="left"/>
        <w:rPr/>
      </w:pPr>
      <w:r>
        <w:rPr>
          <w:rFonts w:ascii="宋体" w:hAnsi="宋体" w:cs="宋体"/>
          <w:u w:val="none"/>
          <w:sz w:val="30"/>
          <w:position w:val="0"/>
          <w:color w:val="000000"/>
          <w:noProof w:val="true"/>
          <w:spacing w:val="-5"/>
          <w:w w:val="100"/>
        </w:rPr>
        <w:t>三、剂型的选择</w:t>
      </w:r>
      <w:r>
        <w:rPr>
          <w:rFonts w:ascii="Calibri" w:hAnsi="Calibri" w:cs="Calibri"/>
          <w:u w:val="none"/>
          <w:sz w:val="30"/>
          <w:color w:val="000000"/>
          <w:noProof w:val="true"/>
          <w:spacing w:val="-24"/>
          <w:w w:val="100"/>
        </w:rPr>
        <w:t> </w:t>
      </w:r>
      <w:r>
        <w:rPr>
          <w:rFonts w:ascii="Arial" w:hAnsi="Arial" w:cs="Arial"/>
          <w:u w:val="none"/>
          <w:sz w:val="30"/>
          <w:position w:val="0"/>
          <w:color w:val="000000"/>
          <w:noProof w:val="true"/>
          <w:spacing w:val="-19"/>
          <w:w w:val="100"/>
        </w:rPr>
        <w:t>............................................................................................................</w:t>
      </w:r>
      <w:r>
        <w:rPr>
          <w:rFonts w:ascii="Calibri" w:hAnsi="Calibri" w:cs="Calibri"/>
          <w:u w:val="none"/>
          <w:sz w:val="30"/>
          <w:color w:val="000000"/>
          <w:noProof w:val="true"/>
          <w:spacing w:val="-33"/>
          <w:w w:val="100"/>
        </w:rPr>
        <w:t> </w:t>
      </w:r>
      <w:r>
        <w:rPr>
          <w:rFonts w:cs="Calibri"/>
          <w:w w:val="100"/>
        </w:rPr>
        <w:tab/>
      </w:r>
      <w:r>
        <w:rPr>
          <w:rFonts w:ascii="Arial" w:hAnsi="Arial" w:cs="Arial"/>
          <w:u w:val="none"/>
          <w:sz w:val="30"/>
          <w:position w:val="0"/>
          <w:color w:val="000000"/>
          <w:noProof w:val="true"/>
          <w:spacing w:val="-29"/>
          <w:w w:val="100"/>
        </w:rPr>
        <w:t>3</w:t>
      </w:r>
    </w:p>
    <w:p w:rsidR="005A76FB" w:rsidRDefault="005A76FB" w:rsidP="005A76FB">
      <w:pPr>
        <w:spacing w:before="0" w:after="0" w:lineRule="exact" w:line="234"/>
        <w:ind w:firstLine="0" w:left="440"/>
        <w:rPr/>
      </w:pPr>
    </w:p>
    <w:p w:rsidR="005A76FB" w:rsidRDefault="005A76FB" w:rsidP="005A76FB">
      <w:pPr>
        <w:spacing w:before="0" w:after="0" w:line="390" w:lineRule="exact"/>
        <w:ind w:firstLine="0" w:left="440"/>
        <w:jc w:val="left"/>
        <w:rPr/>
      </w:pPr>
      <w:r>
        <w:rPr>
          <w:rFonts w:ascii="宋体" w:hAnsi="宋体" w:cs="宋体"/>
          <w:u w:val="none"/>
          <w:sz w:val="30"/>
          <w:position w:val="0"/>
          <w:color w:val="000000"/>
          <w:noProof w:val="true"/>
          <w:spacing w:val="0"/>
          <w:w w:val="48"/>
        </w:rPr>
        <w:t>四、处方研究.................................................................................................................</w:t>
      </w:r>
      <w:r>
        <w:rPr>
          <w:rFonts w:ascii="Calibri" w:hAnsi="Calibri" w:cs="Calibri"/>
          <w:u w:val="none"/>
          <w:sz w:val="30"/>
          <w:color w:val="000000"/>
          <w:noProof w:val="true"/>
          <w:spacing w:val="-33"/>
          <w:w w:val="100"/>
        </w:rPr>
        <w:t> </w:t>
      </w:r>
      <w:r>
        <w:rPr>
          <w:rFonts w:ascii="Arial" w:hAnsi="Arial" w:cs="Arial"/>
          <w:u w:val="none"/>
          <w:sz w:val="30"/>
          <w:position w:val="0"/>
          <w:color w:val="000000"/>
          <w:noProof w:val="true"/>
          <w:spacing w:val="-29"/>
          <w:w w:val="100"/>
        </w:rPr>
        <w:t>4</w:t>
      </w:r>
    </w:p>
    <w:p w:rsidR="005A76FB" w:rsidRDefault="005A76FB" w:rsidP="005A76FB">
      <w:pPr>
        <w:spacing w:before="0" w:after="0" w:lineRule="exact" w:line="234"/>
        <w:ind w:firstLine="0" w:left="440"/>
        <w:rPr/>
      </w:pPr>
    </w:p>
    <w:p w:rsidR="005A76FB" w:rsidRDefault="005A76FB" w:rsidP="005A76FB">
      <w:pPr>
        <w:spacing w:before="0" w:after="0" w:line="390" w:lineRule="exact"/>
        <w:ind w:firstLine="0" w:left="440"/>
        <w:jc w:val="left"/>
        <w:rPr/>
      </w:pPr>
      <w:r>
        <w:rPr>
          <w:rFonts w:ascii="宋体" w:hAnsi="宋体" w:cs="宋体"/>
          <w:u w:val="none"/>
          <w:sz w:val="30"/>
          <w:position w:val="0"/>
          <w:color w:val="000000"/>
          <w:noProof w:val="true"/>
          <w:spacing w:val="0"/>
          <w:w w:val="51"/>
        </w:rPr>
        <w:t>五、制剂工艺研究......................................................................................................10</w:t>
      </w:r>
    </w:p>
    <w:p w:rsidR="005A76FB" w:rsidRDefault="005A76FB" w:rsidP="005A76FB">
      <w:pPr>
        <w:spacing w:before="0" w:after="0" w:lineRule="exact" w:line="234"/>
        <w:ind w:firstLine="0" w:left="440"/>
        <w:rPr/>
      </w:pPr>
    </w:p>
    <w:p w:rsidR="005A76FB" w:rsidRDefault="005A76FB" w:rsidP="005A76FB">
      <w:pPr>
        <w:spacing w:before="0" w:after="0" w:line="390" w:lineRule="exact"/>
        <w:ind w:firstLine="0" w:left="440"/>
        <w:jc w:val="left"/>
        <w:rPr/>
      </w:pPr>
      <w:r>
        <w:rPr>
          <w:rFonts w:ascii="宋体" w:hAnsi="宋体" w:cs="宋体"/>
          <w:u w:val="none"/>
          <w:sz w:val="30"/>
          <w:position w:val="0"/>
          <w:color w:val="000000"/>
          <w:noProof w:val="true"/>
          <w:spacing w:val="0"/>
          <w:w w:val="60"/>
        </w:rPr>
        <w:t>六、药品包装材料（容器）的选择......................................................................13</w:t>
      </w:r>
    </w:p>
    <w:p w:rsidR="005A76FB" w:rsidRDefault="005A76FB" w:rsidP="005A76FB">
      <w:pPr>
        <w:spacing w:before="0" w:after="0" w:lineRule="exact" w:line="234"/>
        <w:ind w:firstLine="0" w:left="440"/>
        <w:rPr/>
      </w:pPr>
    </w:p>
    <w:p w:rsidR="005A76FB" w:rsidRDefault="005A76FB" w:rsidP="005A76FB">
      <w:pPr>
        <w:spacing w:before="0" w:after="0" w:line="390" w:lineRule="exact"/>
        <w:ind w:firstLine="0" w:left="440"/>
        <w:jc w:val="left"/>
        <w:rPr/>
      </w:pPr>
      <w:r>
        <w:rPr>
          <w:rFonts w:ascii="宋体" w:hAnsi="宋体" w:cs="宋体"/>
          <w:u w:val="none"/>
          <w:sz w:val="30"/>
          <w:position w:val="0"/>
          <w:color w:val="000000"/>
          <w:noProof w:val="true"/>
          <w:spacing w:val="-5"/>
          <w:w w:val="100"/>
        </w:rPr>
        <w:t>七、质量研究和稳定性研究</w:t>
      </w:r>
      <w:r>
        <w:rPr>
          <w:rFonts w:ascii="Calibri" w:hAnsi="Calibri" w:cs="Calibri"/>
          <w:u w:val="none"/>
          <w:sz w:val="30"/>
          <w:color w:val="000000"/>
          <w:noProof w:val="true"/>
          <w:spacing w:val="-6"/>
          <w:w w:val="100"/>
        </w:rPr>
        <w:t> </w:t>
      </w:r>
      <w:r>
        <w:rPr>
          <w:rFonts w:ascii="Arial" w:hAnsi="Arial" w:cs="Arial"/>
          <w:u w:val="none"/>
          <w:sz w:val="30"/>
          <w:position w:val="0"/>
          <w:color w:val="000000"/>
          <w:noProof w:val="true"/>
          <w:spacing w:val="-19"/>
          <w:w w:val="100"/>
        </w:rPr>
        <w:t>...................................................................................14</w:t>
      </w:r>
    </w:p>
    <w:p w:rsidR="005A76FB" w:rsidRDefault="005A76FB" w:rsidP="005A76FB">
      <w:pPr>
        <w:spacing w:before="0" w:after="0" w:lineRule="exact" w:line="234"/>
        <w:ind w:firstLine="0" w:left="440"/>
        <w:rPr/>
      </w:pPr>
    </w:p>
    <w:p w:rsidR="005A76FB" w:rsidRDefault="005A76FB" w:rsidP="005A76FB">
      <w:pPr>
        <w:spacing w:before="0" w:after="0" w:line="390" w:lineRule="exact"/>
        <w:ind w:firstLine="0" w:left="440"/>
        <w:jc w:val="left"/>
        <w:rPr/>
      </w:pPr>
      <w:r>
        <w:rPr>
          <w:rFonts w:ascii="宋体" w:hAnsi="宋体" w:cs="宋体"/>
          <w:u w:val="none"/>
          <w:sz w:val="30"/>
          <w:position w:val="0"/>
          <w:color w:val="000000"/>
          <w:noProof w:val="true"/>
          <w:spacing w:val="0"/>
          <w:w w:val="47"/>
        </w:rPr>
        <w:t>八、附录........................................................................................................................15</w:t>
      </w:r>
    </w:p>
    <w:p w:rsidR="005A76FB" w:rsidRDefault="005A76FB" w:rsidP="005A76FB">
      <w:pPr>
        <w:spacing w:before="0" w:after="0" w:lineRule="exact" w:line="234"/>
        <w:ind w:firstLine="0" w:left="440"/>
        <w:rPr/>
      </w:pPr>
    </w:p>
    <w:p w:rsidR="005A76FB" w:rsidRDefault="005A76FB" w:rsidP="005A76FB">
      <w:pPr>
        <w:spacing w:before="0" w:after="0" w:line="390" w:lineRule="exact"/>
        <w:ind w:firstLine="0" w:left="440"/>
        <w:jc w:val="left"/>
        <w:rPr/>
      </w:pPr>
      <w:r>
        <w:rPr>
          <w:rFonts w:ascii="宋体" w:hAnsi="宋体" w:cs="宋体"/>
          <w:u w:val="none"/>
          <w:sz w:val="30"/>
          <w:position w:val="0"/>
          <w:color w:val="000000"/>
          <w:noProof w:val="true"/>
          <w:spacing w:val="0"/>
          <w:w w:val="49"/>
        </w:rPr>
        <w:t>九、参考文献...............................................................................................................16</w:t>
      </w:r>
    </w:p>
    <w:p w:rsidR="005A76FB" w:rsidRDefault="005A76FB" w:rsidP="005A76FB">
      <w:pPr>
        <w:spacing w:before="0" w:after="0" w:lineRule="exact" w:line="234"/>
        <w:ind w:firstLine="0" w:left="440"/>
        <w:rPr/>
      </w:pPr>
    </w:p>
    <w:p w:rsidR="005A76FB" w:rsidRDefault="005A76FB" w:rsidP="005A76FB">
      <w:pPr>
        <w:spacing w:before="0" w:after="0" w:line="390" w:lineRule="exact"/>
        <w:ind w:firstLine="0" w:left="440"/>
        <w:jc w:val="left"/>
        <w:rPr/>
      </w:pPr>
      <w:r>
        <w:rPr>
          <w:rFonts w:ascii="宋体" w:hAnsi="宋体" w:cs="宋体"/>
          <w:u w:val="none"/>
          <w:sz w:val="30"/>
          <w:position w:val="0"/>
          <w:color w:val="000000"/>
          <w:noProof w:val="true"/>
          <w:spacing w:val="0"/>
          <w:w w:val="47"/>
        </w:rPr>
        <w:t>十、著者........................................................................................................................16</w:t>
      </w:r>
    </w:p>
    <w:p w:rsidR="005A76FB" w:rsidRDefault="005A76FB" w:rsidP="005A76FB">
      <w:pPr>
        <w:widowControl/>
        <w:jc w:val="left"/>
        <w:rPr/>
        <w:sectPr w:rsidR="005A76FB" w:rsidSect="005A76FB">
          <w:type w:val="continuous"/>
          <w:pgSz w:w="11900" w:h="16840"/>
          <w:pgMar w:top="1440" w:right="619" w:bottom="1200" w:left="979" w:header="0" w:footer="0" w:gutter="0"/>
          <w:cols w:num="1" w:equalWidth="0">
            <w:col w:w="10302" w:space="0"/>
          </w:cols>
          <w:docGrid w:type="lines" w:linePitch="312"/>
        </w:sectPr>
      </w:pPr>
    </w:p>
    <w:bookmarkStart w:id="3" w:name="3"/>
    <w:bookmarkEnd w:id="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736" w:lineRule="exact"/>
        <w:ind w:left="-1213" w:firstLine="2429"/>
        <w:jc w:val="left"/>
        <w:rPr/>
      </w:pPr>
      <w:r>
        <w:rPr>
          <w:rFonts w:ascii="宋体" w:eastAsia="宋体" w:hAnsi="宋体" w:cs="宋体"/>
          <w:u w:val="none"/>
          <w:sz w:val="44"/>
          <w:position w:val="0"/>
          <w:color w:val="000000"/>
          <w:noProof w:val="true"/>
          <w:spacing w:val="-5"/>
          <w:w w:val="100"/>
        </w:rPr>
        <w:t>化学药物制剂研究基本技术指导原则</w:t>
      </w:r>
    </w:p>
    <w:p w:rsidR="005A76FB" w:rsidRDefault="005A76FB" w:rsidP="005A76FB">
      <w:pPr>
        <w:spacing w:before="0" w:after="0" w:lineRule="exact" w:line="240"/>
        <w:ind w:left="-1213" w:firstLine="2429"/>
        <w:rPr/>
      </w:pPr>
    </w:p>
    <w:p w:rsidR="005A76FB" w:rsidRDefault="005A76FB" w:rsidP="005A76FB">
      <w:pPr>
        <w:spacing w:before="0" w:after="0" w:lineRule="exact" w:line="240"/>
        <w:ind w:left="-1213" w:firstLine="2429"/>
        <w:rPr/>
      </w:pPr>
    </w:p>
    <w:p w:rsidR="005A76FB" w:rsidRDefault="005A76FB" w:rsidP="005A76FB">
      <w:pPr>
        <w:spacing w:before="0" w:after="0" w:line="538" w:lineRule="exact"/>
        <w:ind w:firstLine="2059" w:left="-1213"/>
        <w:jc w:val="left"/>
        <w:rPr/>
      </w:pPr>
      <w:r>
        <w:rPr>
          <w:rFonts w:ascii="宋体" w:hAnsi="宋体" w:cs="宋体"/>
          <w:u w:val="none"/>
          <w:sz w:val="32"/>
          <w:position w:val="0"/>
          <w:color w:val="000000"/>
          <w:noProof w:val="true"/>
          <w:spacing w:val="-5"/>
          <w:w w:val="100"/>
        </w:rPr>
        <w:t>一、概述</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1"/>
          <w:w w:val="100"/>
        </w:rPr>
        <w:t>药物必须制成适宜的剂型才能用于临床。制剂研发的目的就是要保证</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药物的安全、有效、稳定、使用方便。如果剂型选择不当，处方、工艺设</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计不合理，对产品质量会产生一定的影响，甚至影响到产品的药效及安全</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性。因此，制剂研究在药物研发中占有十分重要的地位。</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eastAsia="宋体" w:hAnsi="宋体" w:cs="宋体"/>
          <w:u w:val="none"/>
          <w:sz w:val="28"/>
          <w:position w:val="0"/>
          <w:color w:val="000000"/>
          <w:noProof w:val="true"/>
          <w:spacing w:val="-1"/>
          <w:w w:val="100"/>
        </w:rPr>
        <w:t>本指导原则是根据国内药物研发实际状况，在参考国内外有关制剂研</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究的技术指导原则的基础上，考虑到目前制剂研究中容易被忽视的关键问</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题进行制订的。</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4" w:left="-1213"/>
        <w:jc w:val="left"/>
        <w:rPr/>
      </w:pPr>
      <w:r>
        <w:rPr>
          <w:rFonts w:ascii="宋体" w:eastAsia="宋体" w:hAnsi="宋体" w:cs="宋体"/>
          <w:u w:val="none"/>
          <w:sz w:val="28"/>
          <w:position w:val="0"/>
          <w:color w:val="000000"/>
          <w:noProof w:val="true"/>
          <w:spacing w:val="-6"/>
          <w:w w:val="100"/>
        </w:rPr>
        <w:t>由于药物剂型及生产工艺众多，且各种新剂型和新工艺也在不断出现，</w:t>
      </w:r>
    </w:p>
    <w:p w:rsidR="005A76FB" w:rsidRDefault="005A76FB" w:rsidP="005A76FB">
      <w:pPr>
        <w:spacing w:before="0" w:after="0" w:lineRule="exact" w:line="240"/>
        <w:ind w:firstLine="1974"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制剂研究中具体情况差异很大。本指导原则主要阐述制剂研究的基本思路</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和方法，为制剂研究提供基本的技术指导和帮助。关于各种剂型研究的详</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细技术要求，不在本指导原则中详述，药品申请人可参照本指导原则阐述</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的制剂研究的基本思路开展相应的研究工作。</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5"/>
          <w:w w:val="100"/>
        </w:rPr>
        <w:t>二、制剂研究的基本内容</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1"/>
          <w:w w:val="100"/>
        </w:rPr>
        <w:t>药物剂型种类很多，制剂工艺也各有特点，研究中会面临许多具体情</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况和特殊问题。但制剂研究的总体目标是一致的，即通过一系列研究工作，</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保证剂型选择的依据充分，处方合理，工艺稳定，生产过程能得到有效控</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制，适合工业化生产。制剂研究的基</w:t>
      </w:r>
      <w:r>
        <w:rPr>
          <w:rFonts w:ascii="宋体" w:eastAsia="宋体" w:hAnsi="宋体" w:cs="宋体"/>
          <w:u w:val="none"/>
          <w:sz w:val="28"/>
          <w:position w:val="0"/>
          <w:color w:val="000000"/>
          <w:noProof w:val="true"/>
          <w:spacing w:val="-6"/>
          <w:w w:val="100"/>
        </w:rPr>
        <w:t>本</w:t>
      </w:r>
      <w:r>
        <w:rPr>
          <w:rFonts w:ascii="宋体" w:eastAsia="宋体" w:hAnsi="宋体" w:cs="宋体"/>
          <w:u w:val="none"/>
          <w:sz w:val="28"/>
          <w:position w:val="0"/>
          <w:color w:val="000000"/>
          <w:noProof w:val="true"/>
          <w:spacing w:val="-6"/>
          <w:w w:val="100"/>
        </w:rPr>
        <w:t>内</w:t>
      </w:r>
      <w:r>
        <w:rPr>
          <w:rFonts w:ascii="宋体" w:eastAsia="宋体" w:hAnsi="宋体" w:cs="宋体"/>
          <w:u w:val="none"/>
          <w:sz w:val="28"/>
          <w:position w:val="0"/>
          <w:color w:val="000000"/>
          <w:noProof w:val="true"/>
          <w:spacing w:val="-6"/>
          <w:w w:val="100"/>
        </w:rPr>
        <w:t>容</w:t>
      </w:r>
      <w:r>
        <w:rPr>
          <w:rFonts w:ascii="宋体" w:eastAsia="宋体" w:hAnsi="宋体" w:cs="宋体"/>
          <w:u w:val="none"/>
          <w:sz w:val="28"/>
          <w:position w:val="0"/>
          <w:color w:val="000000"/>
          <w:noProof w:val="true"/>
          <w:spacing w:val="-6"/>
          <w:w w:val="100"/>
        </w:rPr>
        <w:t>一</w:t>
      </w:r>
      <w:r>
        <w:rPr>
          <w:rFonts w:ascii="宋体" w:eastAsia="宋体" w:hAnsi="宋体" w:cs="宋体"/>
          <w:u w:val="none"/>
          <w:sz w:val="28"/>
          <w:position w:val="0"/>
          <w:color w:val="000000"/>
          <w:noProof w:val="true"/>
          <w:spacing w:val="-6"/>
          <w:w w:val="100"/>
        </w:rPr>
        <w:t>般</w:t>
      </w:r>
      <w:r>
        <w:rPr>
          <w:rFonts w:ascii="宋体" w:eastAsia="宋体" w:hAnsi="宋体" w:cs="宋体"/>
          <w:u w:val="none"/>
          <w:sz w:val="28"/>
          <w:position w:val="0"/>
          <w:color w:val="000000"/>
          <w:noProof w:val="true"/>
          <w:spacing w:val="-6"/>
          <w:w w:val="100"/>
        </w:rPr>
        <w:t>包</w:t>
      </w:r>
      <w:r>
        <w:rPr>
          <w:rFonts w:ascii="宋体" w:eastAsia="宋体" w:hAnsi="宋体" w:cs="宋体"/>
          <w:u w:val="none"/>
          <w:sz w:val="28"/>
          <w:position w:val="0"/>
          <w:color w:val="000000"/>
          <w:noProof w:val="true"/>
          <w:spacing w:val="-6"/>
          <w:w w:val="100"/>
        </w:rPr>
        <w:t>括</w:t>
      </w:r>
      <w:r>
        <w:rPr>
          <w:rFonts w:ascii="宋体" w:eastAsia="宋体" w:hAnsi="宋体" w:cs="宋体"/>
          <w:u w:val="none"/>
          <w:sz w:val="28"/>
          <w:position w:val="0"/>
          <w:color w:val="000000"/>
          <w:noProof w:val="true"/>
          <w:spacing w:val="-6"/>
          <w:w w:val="100"/>
        </w:rPr>
        <w:t>以</w:t>
      </w:r>
      <w:r>
        <w:rPr>
          <w:rFonts w:ascii="宋体" w:eastAsia="宋体" w:hAnsi="宋体" w:cs="宋体"/>
          <w:u w:val="none"/>
          <w:sz w:val="28"/>
          <w:position w:val="0"/>
          <w:color w:val="000000"/>
          <w:noProof w:val="true"/>
          <w:spacing w:val="-6"/>
          <w:w w:val="100"/>
        </w:rPr>
        <w:t>下</w:t>
      </w:r>
      <w:r>
        <w:rPr>
          <w:rFonts w:ascii="宋体" w:eastAsia="宋体" w:hAnsi="宋体" w:cs="宋体"/>
          <w:u w:val="none"/>
          <w:sz w:val="28"/>
          <w:position w:val="0"/>
          <w:color w:val="000000"/>
          <w:noProof w:val="true"/>
          <w:spacing w:val="-6"/>
          <w:w w:val="100"/>
        </w:rPr>
        <w:t>方</w:t>
      </w:r>
      <w:r>
        <w:rPr>
          <w:rFonts w:ascii="宋体" w:eastAsia="宋体" w:hAnsi="宋体" w:cs="宋体"/>
          <w:u w:val="none"/>
          <w:sz w:val="28"/>
          <w:position w:val="0"/>
          <w:color w:val="000000"/>
          <w:noProof w:val="true"/>
          <w:spacing w:val="-6"/>
          <w:w w:val="100"/>
        </w:rPr>
        <w:t>面</w:t>
      </w:r>
      <w:r>
        <w:rPr>
          <w:rFonts w:ascii="MS Gothic" w:eastAsia="MS Gothic" w:hAnsi="MS Gothic" w:cs="MS Gothic"/>
          <w:u w:val="none"/>
          <w:sz w:val="28"/>
          <w:position w:val="0"/>
          <w:color w:val="000000"/>
          <w:noProof w:val="true"/>
          <w:spacing w:val="-6"/>
          <w:w w:val="100"/>
        </w:rPr>
        <w:t>：</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1898" w:left="-1213"/>
        <w:jc w:val="left"/>
        <w:rPr/>
      </w:pPr>
      <w:r>
        <w:rPr>
          <w:rFonts w:ascii="宋体" w:eastAsia="宋体" w:hAnsi="宋体" w:cs="宋体"/>
          <w:u w:val="none"/>
          <w:sz w:val="32"/>
          <w:position w:val="0"/>
          <w:color w:val="000000"/>
          <w:noProof w:val="true"/>
          <w:spacing w:val="-6"/>
          <w:w w:val="100"/>
        </w:rPr>
        <w:t>（一）剂型的选择</w:t>
      </w:r>
    </w:p>
    <w:p w:rsidR="005A76FB" w:rsidRDefault="005A76FB" w:rsidP="005A76FB">
      <w:pPr>
        <w:spacing w:before="0" w:after="0" w:lineRule="exact" w:line="234"/>
        <w:ind w:firstLine="1898"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1"/>
          <w:w w:val="100"/>
        </w:rPr>
        <w:t>药品申请人通过对原料药理化性质及生物学性质的考察，根据临床治</w:t>
      </w:r>
    </w:p>
    <w:p w:rsidR="005A76FB" w:rsidRDefault="005A76FB" w:rsidP="005A76FB">
      <w:pPr>
        <w:spacing w:before="0" w:after="0" w:lineRule="exact" w:line="240"/>
        <w:ind w:firstLine="1979" w:left="-1213"/>
        <w:rPr/>
      </w:pPr>
    </w:p>
    <w:p w:rsidR="005A76FB" w:rsidRDefault="005A76FB" w:rsidP="005A76FB">
      <w:pPr>
        <w:sectPr w:rsidR="005A76FB" w:rsidSect="005A76FB">
          <w:type w:val="continuous"/>
          <w:pgSz w:w="11900" w:h="16841"/>
          <w:pgMar w:top="795" w:right="854" w:bottom="555" w:left="1214" w:header="0" w:footer="0" w:gutter="0"/>
        </w:sectPr>
        <w:spacing w:before="0" w:after="0" w:line="406" w:lineRule="exact"/>
        <w:ind w:firstLine="5900" w:left="-1213"/>
        <w:jc w:val="left"/>
        <w:rPr/>
      </w:pPr>
      <w:r>
        <w:rPr>
          <w:rFonts w:ascii="Times New Roman" w:hAnsi="Times New Roman" w:cs="Times New Roman"/>
          <w:u w:val="none"/>
          <w:sz w:val="21"/>
          <w:position w:val="0"/>
          <w:color w:val="000000"/>
          <w:noProof w:val="true"/>
          <w:spacing w:val="-3"/>
          <w:w w:val="100"/>
        </w:rPr>
        <w:t>1</w:t>
      </w: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1" w:firstLine="1418"/>
        <w:jc w:val="left"/>
        <w:rPr/>
      </w:pPr>
      <w:r>
        <w:rPr>
          <w:rFonts w:ascii="宋体" w:hAnsi="宋体" w:cs="宋体"/>
          <w:u w:val="none"/>
          <w:sz w:val="28"/>
          <w:position w:val="0"/>
          <w:color w:val="000000"/>
          <w:noProof w:val="true"/>
          <w:spacing w:val="-5"/>
          <w:w w:val="100"/>
        </w:rPr>
        <w:t>疗和应用的需要，选择适宜的剂型。</w:t>
      </w:r>
    </w:p>
    <w:p w:rsidR="005A76FB" w:rsidRDefault="005A76FB" w:rsidP="005A76FB">
      <w:pPr>
        <w:spacing w:before="0" w:after="0" w:lineRule="exact" w:line="233"/>
        <w:ind w:left="-1351" w:firstLine="1418"/>
        <w:rPr/>
      </w:pPr>
    </w:p>
    <w:p w:rsidR="005A76FB" w:rsidRDefault="005A76FB" w:rsidP="005A76FB">
      <w:pPr>
        <w:spacing w:before="0" w:after="0" w:line="417" w:lineRule="exact"/>
        <w:ind w:firstLine="1900" w:left="-1351"/>
        <w:jc w:val="left"/>
        <w:rPr/>
      </w:pPr>
      <w:r>
        <w:rPr>
          <w:rFonts w:ascii="宋体" w:eastAsia="宋体" w:hAnsi="宋体" w:cs="宋体"/>
          <w:u w:val="none"/>
          <w:sz w:val="32"/>
          <w:position w:val="0"/>
          <w:color w:val="000000"/>
          <w:noProof w:val="true"/>
          <w:spacing w:val="-6"/>
          <w:w w:val="100"/>
        </w:rPr>
        <w:t>（二）处方研究</w:t>
      </w:r>
    </w:p>
    <w:p w:rsidR="005A76FB" w:rsidRDefault="005A76FB" w:rsidP="005A76FB">
      <w:pPr>
        <w:spacing w:before="0" w:after="0" w:lineRule="exact" w:line="234"/>
        <w:ind w:firstLine="1900" w:left="-1351"/>
        <w:rPr/>
      </w:pPr>
    </w:p>
    <w:p w:rsidR="005A76FB" w:rsidRDefault="005A76FB" w:rsidP="005A76FB">
      <w:pPr>
        <w:spacing w:before="0" w:after="0" w:line="364" w:lineRule="exact"/>
        <w:ind w:firstLine="1979" w:left="-1351"/>
        <w:jc w:val="left"/>
        <w:rPr/>
      </w:pPr>
      <w:r>
        <w:rPr>
          <w:rFonts w:ascii="宋体" w:hAnsi="宋体" w:cs="宋体"/>
          <w:u w:val="none"/>
          <w:sz w:val="28"/>
          <w:position w:val="0"/>
          <w:color w:val="000000"/>
          <w:noProof w:val="true"/>
          <w:spacing w:val="-1"/>
          <w:w w:val="100"/>
        </w:rPr>
        <w:t>根据药物理化性质、稳定性试验结果和药物吸收等情况，结合所选剂</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型的特点，确定适当的指标，选择适宜的辅料，进行处方筛选和优化，初</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步确定处方。</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1900" w:left="-1351"/>
        <w:jc w:val="left"/>
        <w:rPr/>
      </w:pPr>
      <w:r>
        <w:rPr>
          <w:rFonts w:ascii="宋体" w:eastAsia="宋体" w:hAnsi="宋体" w:cs="宋体"/>
          <w:u w:val="none"/>
          <w:sz w:val="32"/>
          <w:position w:val="0"/>
          <w:color w:val="000000"/>
          <w:noProof w:val="true"/>
          <w:spacing w:val="-6"/>
          <w:w w:val="100"/>
        </w:rPr>
        <w:t>（三）制剂工艺研究</w:t>
      </w:r>
    </w:p>
    <w:p w:rsidR="005A76FB" w:rsidRDefault="005A76FB" w:rsidP="005A76FB">
      <w:pPr>
        <w:spacing w:before="0" w:after="0" w:lineRule="exact" w:line="234"/>
        <w:ind w:firstLine="1900"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1"/>
          <w:w w:val="100"/>
        </w:rPr>
        <w:t>根据剂型的特点，结合药物理化性质和稳定性等情况，考虑生产条件</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和设备，进行工艺研究，初步确定实验室样品的制备工艺，并建立相应的</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过程控制指标。</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979" w:left="-1351"/>
        <w:jc w:val="left"/>
        <w:rPr/>
      </w:pPr>
      <w:r>
        <w:rPr>
          <w:rFonts w:ascii="宋体" w:hAnsi="宋体" w:cs="宋体"/>
          <w:u w:val="none"/>
          <w:sz w:val="28"/>
          <w:position w:val="0"/>
          <w:color w:val="000000"/>
          <w:noProof w:val="true"/>
          <w:spacing w:val="-1"/>
          <w:w w:val="100"/>
        </w:rPr>
        <w:t>为保证制剂工业化生产，必须进行工艺放大研究，必要时对处方、工</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艺、设备等进行适当的调整。</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1900" w:left="-1351"/>
        <w:jc w:val="left"/>
        <w:rPr/>
      </w:pPr>
      <w:r>
        <w:rPr>
          <w:rFonts w:ascii="宋体" w:eastAsia="宋体" w:hAnsi="宋体" w:cs="宋体"/>
          <w:u w:val="none"/>
          <w:sz w:val="32"/>
          <w:position w:val="0"/>
          <w:color w:val="000000"/>
          <w:noProof w:val="true"/>
          <w:spacing w:val="-6"/>
          <w:w w:val="100"/>
        </w:rPr>
        <w:t>（四）药品包装材料（容器）的选择</w:t>
      </w:r>
    </w:p>
    <w:p w:rsidR="005A76FB" w:rsidRDefault="005A76FB" w:rsidP="005A76FB">
      <w:pPr>
        <w:spacing w:before="0" w:after="0" w:lineRule="exact" w:line="234"/>
        <w:ind w:firstLine="1900" w:left="-1351"/>
        <w:rPr/>
      </w:pPr>
    </w:p>
    <w:p w:rsidR="005A76FB" w:rsidRDefault="005A76FB" w:rsidP="005A76FB">
      <w:pPr>
        <w:spacing w:before="0" w:after="0" w:line="364" w:lineRule="exact"/>
        <w:ind w:firstLine="1979" w:left="-1351"/>
        <w:jc w:val="left"/>
        <w:rPr/>
      </w:pPr>
      <w:r>
        <w:rPr>
          <w:rFonts w:ascii="宋体" w:hAnsi="宋体" w:cs="宋体"/>
          <w:u w:val="none"/>
          <w:sz w:val="28"/>
          <w:position w:val="0"/>
          <w:color w:val="000000"/>
          <w:noProof w:val="true"/>
          <w:spacing w:val="-1"/>
          <w:w w:val="100"/>
        </w:rPr>
        <w:t>主要侧重于药品内包装材料（容器）的考察。可通过文献调研，或制</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10"/>
          <w:w w:val="100"/>
        </w:rPr>
        <w:t>剂与包装材料相容性研究等实验，初步选择内包装材料（容器），并通过加</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速试验和长期留样试验继续进行考察。</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1900" w:left="-1351"/>
        <w:jc w:val="left"/>
        <w:rPr/>
      </w:pPr>
      <w:r>
        <w:rPr>
          <w:rFonts w:ascii="宋体" w:eastAsia="宋体" w:hAnsi="宋体" w:cs="宋体"/>
          <w:u w:val="none"/>
          <w:sz w:val="32"/>
          <w:position w:val="0"/>
          <w:color w:val="000000"/>
          <w:noProof w:val="true"/>
          <w:spacing w:val="-6"/>
          <w:w w:val="100"/>
        </w:rPr>
        <w:t>（五）质量研究和稳定性研究</w:t>
      </w:r>
    </w:p>
    <w:p w:rsidR="005A76FB" w:rsidRDefault="005A76FB" w:rsidP="005A76FB">
      <w:pPr>
        <w:spacing w:before="0" w:after="0" w:lineRule="exact" w:line="234"/>
        <w:ind w:firstLine="1900"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1"/>
          <w:w w:val="100"/>
        </w:rPr>
        <w:t>质量研究和稳定性研究已分别制订相应的指导原则，涉及此部分工作</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可参照有关指导原则进行。</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979" w:left="-1351"/>
        <w:jc w:val="left"/>
        <w:rPr/>
      </w:pPr>
      <w:r>
        <w:rPr>
          <w:rFonts w:ascii="宋体" w:eastAsia="宋体" w:hAnsi="宋体" w:cs="宋体"/>
          <w:u w:val="none"/>
          <w:sz w:val="28"/>
          <w:position w:val="0"/>
          <w:color w:val="000000"/>
          <w:noProof w:val="true"/>
          <w:spacing w:val="-1"/>
          <w:w w:val="100"/>
        </w:rPr>
        <w:t>制剂研究的各项工作既有其侧重点和需要解决的关键问题，彼此之间</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又有着密切联系。剂型选择是以对药物的理化性质、生物学特性及临床应</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用需求等综合分析为基础的，而这些方面也正是处方及工艺研究中的重要</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问题。质量研究和稳定性考察是处方筛选和工艺优化的重要的科学基础，</w:t>
      </w: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ectPr w:rsidR="005A76FB" w:rsidSect="005A76FB">
          <w:type w:val="continuous"/>
          <w:pgSz w:w="11900" w:h="16840"/>
          <w:pgMar w:top="795" w:right="992" w:bottom="555" w:left="1352" w:header="0" w:footer="0" w:gutter="0"/>
        </w:sectPr>
        <w:spacing w:before="0" w:after="0" w:line="238" w:lineRule="exact"/>
        <w:ind w:firstLine="5900" w:left="-1351"/>
        <w:jc w:val="left"/>
        <w:rPr/>
      </w:pPr>
      <w:r>
        <w:rPr>
          <w:rFonts w:ascii="Times New Roman" w:hAnsi="Times New Roman" w:cs="Times New Roman"/>
          <w:u w:val="none"/>
          <w:sz w:val="21"/>
          <w:position w:val="0"/>
          <w:color w:val="000000"/>
          <w:noProof w:val="true"/>
          <w:spacing w:val="-3"/>
          <w:w w:val="100"/>
        </w:rPr>
        <w:t>2</w:t>
      </w: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364" w:lineRule="exact"/>
        <w:ind w:left="205" w:firstLine="0"/>
        <w:jc w:val="left"/>
        <w:rPr/>
      </w:pPr>
      <w:r>
        <w:rPr>
          <w:rFonts w:ascii="宋体" w:eastAsia="宋体" w:hAnsi="宋体" w:cs="宋体"/>
          <w:u w:val="none"/>
          <w:sz w:val="28"/>
          <w:position w:val="0"/>
          <w:color w:val="000000"/>
          <w:noProof w:val="true"/>
          <w:spacing w:val="-2"/>
          <w:w w:val="100"/>
        </w:rPr>
        <w:t>同时，处方及工艺研究中获取的信息为药品质量控制（中控指标和质量标</w:t>
      </w:r>
    </w:p>
    <w:p w:rsidR="005A76FB" w:rsidRDefault="005A76FB" w:rsidP="005A76FB">
      <w:pPr>
        <w:spacing w:before="0" w:after="0" w:lineRule="exact" w:line="240"/>
        <w:ind w:left="205" w:firstLine="0"/>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2"/>
          <w:w w:val="100"/>
        </w:rPr>
        <w:t>准）中项目的设定和建立提供了参考依据。因此，研究中需要注意加强各</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eastAsia="宋体" w:hAnsi="宋体" w:cs="宋体"/>
          <w:u w:val="none"/>
          <w:sz w:val="28"/>
          <w:position w:val="0"/>
          <w:color w:val="000000"/>
          <w:noProof w:val="true"/>
          <w:spacing w:val="-5"/>
          <w:w w:val="100"/>
        </w:rPr>
        <w:t>项工作间的沟通和协调，研究结果需</w:t>
      </w:r>
      <w:r>
        <w:rPr>
          <w:rFonts w:ascii="宋体" w:eastAsia="宋体" w:hAnsi="宋体" w:cs="宋体"/>
          <w:u w:val="none"/>
          <w:sz w:val="28"/>
          <w:position w:val="0"/>
          <w:color w:val="000000"/>
          <w:noProof w:val="true"/>
          <w:spacing w:val="-6"/>
          <w:w w:val="100"/>
        </w:rPr>
        <w:t>注</w:t>
      </w:r>
      <w:r>
        <w:rPr>
          <w:rFonts w:ascii="宋体" w:eastAsia="宋体" w:hAnsi="宋体" w:cs="宋体"/>
          <w:u w:val="none"/>
          <w:sz w:val="28"/>
          <w:position w:val="0"/>
          <w:color w:val="000000"/>
          <w:noProof w:val="true"/>
          <w:spacing w:val="-6"/>
          <w:w w:val="100"/>
        </w:rPr>
        <w:t>意</w:t>
      </w:r>
      <w:r>
        <w:rPr>
          <w:rFonts w:ascii="宋体" w:eastAsia="宋体" w:hAnsi="宋体" w:cs="宋体"/>
          <w:u w:val="none"/>
          <w:sz w:val="28"/>
          <w:position w:val="0"/>
          <w:color w:val="000000"/>
          <w:noProof w:val="true"/>
          <w:spacing w:val="-6"/>
          <w:w w:val="100"/>
        </w:rPr>
        <w:t>进</w:t>
      </w:r>
      <w:r>
        <w:rPr>
          <w:rFonts w:ascii="宋体" w:eastAsia="宋体" w:hAnsi="宋体" w:cs="宋体"/>
          <w:u w:val="none"/>
          <w:sz w:val="28"/>
          <w:position w:val="0"/>
          <w:color w:val="000000"/>
          <w:noProof w:val="true"/>
          <w:spacing w:val="-6"/>
          <w:w w:val="100"/>
        </w:rPr>
        <w:t>行</w:t>
      </w:r>
      <w:r>
        <w:rPr>
          <w:rFonts w:ascii="宋体" w:eastAsia="宋体" w:hAnsi="宋体" w:cs="宋体"/>
          <w:u w:val="none"/>
          <w:sz w:val="28"/>
          <w:position w:val="0"/>
          <w:color w:val="000000"/>
          <w:noProof w:val="true"/>
          <w:spacing w:val="-6"/>
          <w:w w:val="100"/>
        </w:rPr>
        <w:t>全</w:t>
      </w:r>
      <w:r>
        <w:rPr>
          <w:rFonts w:ascii="宋体" w:eastAsia="宋体" w:hAnsi="宋体" w:cs="宋体"/>
          <w:u w:val="none"/>
          <w:sz w:val="28"/>
          <w:position w:val="0"/>
          <w:color w:val="000000"/>
          <w:noProof w:val="true"/>
          <w:spacing w:val="-6"/>
          <w:w w:val="100"/>
        </w:rPr>
        <w:t>面</w:t>
      </w:r>
      <w:r>
        <w:rPr>
          <w:rFonts w:ascii="宋体" w:hAnsi="宋体" w:cs="宋体"/>
          <w:u w:val="none"/>
          <w:sz w:val="28"/>
          <w:position w:val="0"/>
          <w:color w:val="000000"/>
          <w:noProof w:val="true"/>
          <w:spacing w:val="-6"/>
          <w:w w:val="100"/>
        </w:rPr>
        <w:t>、</w:t>
      </w:r>
      <w:r>
        <w:rPr>
          <w:rFonts w:ascii="宋体" w:eastAsia="宋体" w:hAnsi="宋体" w:cs="宋体"/>
          <w:u w:val="none"/>
          <w:sz w:val="28"/>
          <w:position w:val="0"/>
          <w:color w:val="000000"/>
          <w:noProof w:val="true"/>
          <w:spacing w:val="-6"/>
          <w:w w:val="100"/>
        </w:rPr>
        <w:t>综</w:t>
      </w:r>
      <w:r>
        <w:rPr>
          <w:rFonts w:ascii="宋体" w:eastAsia="宋体" w:hAnsi="宋体" w:cs="宋体"/>
          <w:u w:val="none"/>
          <w:sz w:val="28"/>
          <w:position w:val="0"/>
          <w:color w:val="000000"/>
          <w:noProof w:val="true"/>
          <w:spacing w:val="-6"/>
          <w:w w:val="100"/>
        </w:rPr>
        <w:t>合</w:t>
      </w:r>
      <w:r>
        <w:rPr>
          <w:rFonts w:ascii="宋体" w:eastAsia="宋体" w:hAnsi="宋体" w:cs="宋体"/>
          <w:u w:val="none"/>
          <w:sz w:val="28"/>
          <w:position w:val="0"/>
          <w:color w:val="000000"/>
          <w:noProof w:val="true"/>
          <w:spacing w:val="-6"/>
          <w:w w:val="100"/>
        </w:rPr>
        <w:t>分</w:t>
      </w:r>
      <w:r>
        <w:rPr>
          <w:rFonts w:ascii="宋体" w:eastAsia="宋体" w:hAnsi="宋体" w:cs="宋体"/>
          <w:u w:val="none"/>
          <w:sz w:val="28"/>
          <w:position w:val="0"/>
          <w:color w:val="000000"/>
          <w:noProof w:val="true"/>
          <w:spacing w:val="-6"/>
          <w:w w:val="100"/>
        </w:rPr>
        <w:t>析</w:t>
      </w:r>
      <w:r>
        <w:rPr>
          <w:rFonts w:ascii="宋体" w:hAnsi="宋体" w:cs="宋体"/>
          <w:u w:val="none"/>
          <w:sz w:val="28"/>
          <w:position w:val="0"/>
          <w:color w:val="000000"/>
          <w:noProof w:val="true"/>
          <w:spacing w:val="-6"/>
          <w:w w:val="100"/>
        </w:rPr>
        <w:t>。</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560" w:left="205"/>
        <w:jc w:val="left"/>
        <w:rPr/>
      </w:pPr>
      <w:r>
        <w:rPr>
          <w:rFonts w:ascii="宋体" w:hAnsi="宋体" w:cs="宋体"/>
          <w:u w:val="none"/>
          <w:sz w:val="28"/>
          <w:position w:val="0"/>
          <w:color w:val="000000"/>
          <w:noProof w:val="true"/>
          <w:spacing w:val="-1"/>
          <w:w w:val="100"/>
        </w:rPr>
        <w:t>综上所述，制剂研究是一个循序渐进、不断完善的过程，制剂研发中</w:t>
      </w:r>
    </w:p>
    <w:p w:rsidR="005A76FB" w:rsidRDefault="005A76FB" w:rsidP="005A76FB">
      <w:pPr>
        <w:spacing w:before="0" w:after="0" w:lineRule="exact" w:line="240"/>
        <w:ind w:firstLine="56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2"/>
          <w:w w:val="100"/>
        </w:rPr>
        <w:t>需注意制剂研究与相关研究工作的紧密结合。在研发初期，根据药物理化</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2"/>
          <w:w w:val="100"/>
        </w:rPr>
        <w:t>性质、稳定性试验结果和体内药物吸收情况等数据，初步确定制剂处方及</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2"/>
          <w:w w:val="100"/>
        </w:rPr>
        <w:t>制备工艺。随着研究的进展，在完成有关临床研究（如药代动力学试验、</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2"/>
          <w:w w:val="100"/>
        </w:rPr>
        <w:t>生物利用度比较研究）以及后期工艺放大研究后，处方、工艺可能需要进</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2"/>
          <w:w w:val="100"/>
        </w:rPr>
        <w:t>行必要的调整。如这些调整可能影响药品的体内外行为，除重新进行有关</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eastAsia="宋体" w:hAnsi="宋体" w:cs="宋体"/>
          <w:u w:val="none"/>
          <w:sz w:val="28"/>
          <w:position w:val="0"/>
          <w:color w:val="000000"/>
          <w:noProof w:val="true"/>
          <w:spacing w:val="-2"/>
          <w:w w:val="100"/>
        </w:rPr>
        <w:t>体外研究工作（如溶出度检查）外，必要时还需要进行有关临床研究，具</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5"/>
          <w:w w:val="100"/>
        </w:rPr>
        <w:t>体要求可参考相关技术指导原则。</w:t>
      </w:r>
    </w:p>
    <w:p w:rsidR="005A76FB" w:rsidRDefault="005A76FB" w:rsidP="005A76FB">
      <w:pPr>
        <w:spacing w:before="0" w:after="0" w:lineRule="exact" w:line="233"/>
        <w:ind w:firstLine="0" w:left="205"/>
        <w:rPr/>
      </w:pPr>
    </w:p>
    <w:p w:rsidR="005A76FB" w:rsidRDefault="005A76FB" w:rsidP="005A76FB">
      <w:pPr>
        <w:spacing w:before="0" w:after="0" w:line="417" w:lineRule="exact"/>
        <w:ind w:firstLine="641" w:left="205"/>
        <w:jc w:val="left"/>
        <w:rPr/>
      </w:pPr>
      <w:r>
        <w:rPr>
          <w:rFonts w:ascii="宋体" w:hAnsi="宋体" w:cs="宋体"/>
          <w:u w:val="none"/>
          <w:sz w:val="32"/>
          <w:position w:val="0"/>
          <w:color w:val="000000"/>
          <w:noProof w:val="true"/>
          <w:spacing w:val="-5"/>
          <w:w w:val="100"/>
        </w:rPr>
        <w:t>三、剂型的选择</w:t>
      </w:r>
    </w:p>
    <w:p w:rsidR="005A76FB" w:rsidRDefault="005A76FB" w:rsidP="005A76FB">
      <w:pPr>
        <w:spacing w:before="0" w:after="0" w:lineRule="exact" w:line="234"/>
        <w:ind w:firstLine="641" w:left="205"/>
        <w:rPr/>
      </w:pPr>
    </w:p>
    <w:p w:rsidR="005A76FB" w:rsidRDefault="005A76FB" w:rsidP="005A76FB">
      <w:pPr>
        <w:spacing w:before="0" w:after="0" w:line="364" w:lineRule="exact"/>
        <w:ind w:firstLine="560" w:left="205"/>
        <w:jc w:val="left"/>
        <w:rPr/>
      </w:pPr>
      <w:r>
        <w:rPr>
          <w:rFonts w:ascii="宋体" w:hAnsi="宋体" w:cs="宋体"/>
          <w:u w:val="none"/>
          <w:sz w:val="28"/>
          <w:position w:val="0"/>
          <w:color w:val="000000"/>
          <w:noProof w:val="true"/>
          <w:spacing w:val="-1"/>
          <w:w w:val="100"/>
        </w:rPr>
        <w:t>剂型选择应首先对有关剂型的特点和国内外有关的研究、生产状况进</w:t>
      </w:r>
    </w:p>
    <w:p w:rsidR="005A76FB" w:rsidRDefault="005A76FB" w:rsidP="005A76FB">
      <w:pPr>
        <w:spacing w:before="0" w:after="0" w:lineRule="exact" w:line="240"/>
        <w:ind w:firstLine="56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5"/>
          <w:w w:val="100"/>
        </w:rPr>
        <w:t>行充分的了解，为剂型的选择提供参考。</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560" w:left="205"/>
        <w:jc w:val="left"/>
        <w:rPr/>
      </w:pPr>
      <w:r>
        <w:rPr>
          <w:rFonts w:ascii="宋体" w:eastAsia="宋体" w:hAnsi="宋体" w:cs="宋体"/>
          <w:u w:val="none"/>
          <w:sz w:val="28"/>
          <w:position w:val="0"/>
          <w:color w:val="000000"/>
          <w:noProof w:val="true"/>
          <w:spacing w:val="-5"/>
          <w:w w:val="100"/>
        </w:rPr>
        <w:t>剂型的选择和设计着重考虑以下三个方面：</w:t>
      </w:r>
    </w:p>
    <w:p w:rsidR="005A76FB" w:rsidRDefault="005A76FB" w:rsidP="005A76FB">
      <w:pPr>
        <w:spacing w:before="0" w:after="0" w:lineRule="exact" w:line="233"/>
        <w:ind w:firstLine="560" w:left="205"/>
        <w:rPr/>
      </w:pPr>
    </w:p>
    <w:p w:rsidR="005A76FB" w:rsidRDefault="005A76FB" w:rsidP="005A76FB">
      <w:pPr>
        <w:spacing w:before="0" w:after="0" w:line="417" w:lineRule="exact"/>
        <w:ind w:firstLine="481" w:left="205"/>
        <w:jc w:val="left"/>
        <w:rPr/>
      </w:pPr>
      <w:r>
        <w:rPr>
          <w:rFonts w:ascii="宋体" w:eastAsia="宋体" w:hAnsi="宋体" w:cs="宋体"/>
          <w:u w:val="none"/>
          <w:sz w:val="32"/>
          <w:position w:val="0"/>
          <w:color w:val="000000"/>
          <w:noProof w:val="true"/>
          <w:spacing w:val="-6"/>
          <w:w w:val="100"/>
        </w:rPr>
        <w:t>（一）药物的理化性质和生物学特性</w:t>
      </w:r>
    </w:p>
    <w:p w:rsidR="005A76FB" w:rsidRDefault="005A76FB" w:rsidP="005A76FB">
      <w:pPr>
        <w:spacing w:before="0" w:after="0" w:lineRule="exact" w:line="234"/>
        <w:ind w:firstLine="481" w:left="205"/>
        <w:rPr/>
      </w:pPr>
    </w:p>
    <w:p w:rsidR="005A76FB" w:rsidRDefault="005A76FB" w:rsidP="005A76FB">
      <w:pPr>
        <w:spacing w:before="0" w:after="0" w:line="364" w:lineRule="exact"/>
        <w:ind w:firstLine="560" w:left="205"/>
        <w:jc w:val="left"/>
        <w:rPr/>
      </w:pPr>
      <w:r>
        <w:rPr>
          <w:rFonts w:ascii="宋体" w:hAnsi="宋体" w:cs="宋体"/>
          <w:u w:val="none"/>
          <w:sz w:val="28"/>
          <w:position w:val="0"/>
          <w:color w:val="000000"/>
          <w:noProof w:val="true"/>
          <w:spacing w:val="-1"/>
          <w:w w:val="100"/>
        </w:rPr>
        <w:t>药物的理化性质和生物学特性是剂型选择的重要依据。例如对于在胃</w:t>
      </w:r>
    </w:p>
    <w:p w:rsidR="005A76FB" w:rsidRDefault="005A76FB" w:rsidP="005A76FB">
      <w:pPr>
        <w:spacing w:before="0" w:after="0" w:lineRule="exact" w:line="240"/>
        <w:ind w:firstLine="56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2"/>
          <w:w w:val="100"/>
        </w:rPr>
        <w:t>液中不稳定的药物，一般不宜开发为胃溶制剂。对一些稳定性差宜在固态</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eastAsia="宋体" w:hAnsi="宋体" w:cs="宋体"/>
          <w:u w:val="none"/>
          <w:sz w:val="28"/>
          <w:position w:val="0"/>
          <w:color w:val="000000"/>
          <w:noProof w:val="true"/>
          <w:spacing w:val="-14"/>
          <w:w w:val="100"/>
        </w:rPr>
        <w:t>下贮藏的药物（如某些头孢类抗生素），在溶液状态下易降解或产生聚合物，</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hAnsi="宋体" w:cs="宋体"/>
          <w:u w:val="none"/>
          <w:sz w:val="28"/>
          <w:position w:val="0"/>
          <w:color w:val="000000"/>
          <w:noProof w:val="true"/>
          <w:spacing w:val="-6"/>
          <w:w w:val="100"/>
        </w:rPr>
        <w:t>临床使用会引发安全性方面的问题，不适宜开发注射液、输液等溶液剂型。</w:t>
      </w:r>
    </w:p>
    <w:p w:rsidR="005A76FB" w:rsidRDefault="005A76FB" w:rsidP="005A76FB">
      <w:pPr>
        <w:spacing w:before="0" w:after="0" w:lineRule="exact" w:line="240"/>
        <w:ind w:firstLine="0" w:left="205"/>
        <w:rPr/>
      </w:pPr>
    </w:p>
    <w:p w:rsidR="005A76FB" w:rsidRDefault="005A76FB" w:rsidP="005A76FB">
      <w:pPr>
        <w:spacing w:before="0" w:after="0" w:line="384" w:lineRule="exact"/>
        <w:ind w:firstLine="0" w:left="205"/>
        <w:jc w:val="left"/>
        <w:rPr/>
      </w:pPr>
      <w:r>
        <w:rPr>
          <w:rFonts w:ascii="宋体" w:eastAsia="宋体" w:hAnsi="宋体" w:cs="宋体"/>
          <w:u w:val="none"/>
          <w:sz w:val="28"/>
          <w:position w:val="0"/>
          <w:color w:val="000000"/>
          <w:noProof w:val="true"/>
          <w:spacing w:val="-5"/>
          <w:w w:val="100"/>
        </w:rPr>
        <w:t>对存在明显肝脏首过效应的药物，可</w:t>
      </w:r>
      <w:r>
        <w:rPr>
          <w:rFonts w:ascii="宋体" w:hAnsi="宋体" w:cs="宋体"/>
          <w:u w:val="none"/>
          <w:sz w:val="28"/>
          <w:position w:val="0"/>
          <w:color w:val="000000"/>
          <w:noProof w:val="true"/>
          <w:spacing w:val="-5"/>
          <w:w w:val="100"/>
        </w:rPr>
        <w:t>考虑制成非口服给药途径的制剂。</w:t>
      </w:r>
    </w:p>
    <w:p w:rsidR="005A76FB" w:rsidRDefault="005A76FB" w:rsidP="005A76FB">
      <w:pPr>
        <w:widowControl/>
        <w:jc w:val="left"/>
        <w:rPr/>
        <w:sectPr w:rsidR="005A76FB" w:rsidSect="005A76FB">
          <w:type w:val="continuous"/>
          <w:pgSz w:w="11900" w:h="16841"/>
          <w:pgMar w:top="795" w:right="854" w:bottom="555" w:left="1214" w:header="0" w:footer="0" w:gutter="0"/>
          <w:cols w:num="1" w:equalWidth="0">
            <w:col w:w="9832" w:space="0"/>
          </w:cols>
          <w:docGrid w:type="lines" w:linePitch="312"/>
        </w:sectPr>
      </w:pPr>
    </w:p>
    <w:p w:rsidR="005A76FB" w:rsidRDefault="005A76FB" w:rsidP="005A76FB">
      <w:pPr>
        <w:spacing w:before="0" w:after="0" w:lineRule="exact" w:line="240"/>
        <w:ind w:firstLine="0" w:left="205"/>
        <w:rPr/>
      </w:pPr>
    </w:p>
    <w:p w:rsidR="005A76FB" w:rsidRDefault="005A76FB" w:rsidP="005A76FB">
      <w:pPr>
        <w:spacing w:before="0" w:after="0" w:lineRule="exact" w:line="240"/>
        <w:ind w:firstLine="0" w:left="205"/>
        <w:rPr/>
      </w:pPr>
    </w:p>
    <w:p w:rsidR="005A76FB" w:rsidRDefault="005A76FB" w:rsidP="005A76FB">
      <w:pPr>
        <w:spacing w:before="0" w:after="0" w:lineRule="exact" w:line="240"/>
        <w:ind w:firstLine="0" w:left="205"/>
        <w:rPr/>
      </w:pPr>
    </w:p>
    <w:p w:rsidR="005A76FB" w:rsidRDefault="005A76FB" w:rsidP="005A76FB">
      <w:pPr>
        <w:spacing w:before="0" w:after="0" w:lineRule="exact" w:line="240"/>
        <w:ind w:firstLine="0" w:left="205"/>
        <w:rPr/>
      </w:pPr>
    </w:p>
    <w:p w:rsidR="005A76FB" w:rsidRDefault="005A76FB" w:rsidP="005A76FB">
      <w:pPr>
        <w:spacing w:before="0" w:after="0" w:lineRule="exact" w:line="390"/>
        <w:ind w:firstLine="0" w:left="205"/>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232" w:lineRule="exact"/>
        <w:ind w:firstLine="0" w:left="4687"/>
        <w:jc w:val="left"/>
        <w:rPr/>
      </w:pPr>
      <w:r>
        <w:rPr>
          <w:rFonts w:ascii="Times New Roman" w:hAnsi="Times New Roman" w:cs="Times New Roman"/>
          <w:u w:val="none"/>
          <w:sz w:val="21"/>
          <w:position w:val="0"/>
          <w:color w:val="000000"/>
          <w:noProof w:val="true"/>
          <w:spacing w:val="-3"/>
          <w:w w:val="100"/>
        </w:rPr>
        <w:t>3</w:t>
      </w:r>
    </w:p>
    <w:p w:rsidR="005A76FB" w:rsidRDefault="005A76FB" w:rsidP="005A76FB">
      <w:pPr>
        <w:widowControl/>
        <w:jc w:val="left"/>
        <w:rPr/>
        <w:sectPr w:rsidR="005A76FB" w:rsidSect="005A76FB">
          <w:type w:val="continuous"/>
          <w:pgSz w:w="11900" w:h="16841"/>
          <w:pgMar w:top="795" w:right="854" w:bottom="555" w:left="1214" w:header="0" w:footer="0" w:gutter="0"/>
          <w:cols w:num="1" w:equalWidth="0">
            <w:col w:w="9832" w:space="0"/>
          </w:cols>
          <w:docGrid w:type="lines" w:linePitch="312"/>
        </w:sectPr>
      </w:pPr>
    </w:p>
    <w:bookmarkStart w:id="6" w:name="6"/>
    <w:bookmarkEnd w:id="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57"/>
        <w:ind/>
        <w:rPr/>
      </w:pPr>
    </w:p>
    <w:p w:rsidR="005A76FB" w:rsidRDefault="005A76FB" w:rsidP="005A76FB">
      <w:pPr>
        <w:widowControl/>
        <w:jc w:val="left"/>
        <w:rPr/>
        <w:sectPr w:rsidR="005A76FB" w:rsidSect="005A76FB">
          <w:type w:val="continuous"/>
          <w:pgSz w:w="11900" w:h="16840"/>
          <w:pgMar w:top="795" w:right="854" w:bottom="555" w:left="1214" w:header="0" w:footer="0" w:gutter="0"/>
          <w:docGrid w:type="lines" w:linePitch="312"/>
        </w:sectPr>
      </w:pPr>
    </w:p>
    <w:p w:rsidR="005A76FB" w:rsidRDefault="005A76FB" w:rsidP="005A76FB">
      <w:pPr>
        <w:spacing w:before="0" w:after="0" w:line="417" w:lineRule="exact"/>
        <w:ind w:left="204" w:firstLine="481"/>
        <w:jc w:val="left"/>
        <w:rPr/>
      </w:pPr>
      <w:r>
        <w:rPr>
          <w:rFonts w:ascii="宋体" w:eastAsia="宋体" w:hAnsi="宋体" w:cs="宋体"/>
          <w:u w:val="none"/>
          <w:sz w:val="32"/>
          <w:position w:val="0"/>
          <w:color w:val="000000"/>
          <w:noProof w:val="true"/>
          <w:spacing w:val="-6"/>
          <w:w w:val="100"/>
        </w:rPr>
        <w:t>（二）临床治疗的需要</w:t>
      </w:r>
    </w:p>
    <w:p w:rsidR="005A76FB" w:rsidRDefault="005A76FB" w:rsidP="005A76FB">
      <w:pPr>
        <w:spacing w:before="0" w:after="0" w:lineRule="exact" w:line="234"/>
        <w:ind w:left="204" w:firstLine="481"/>
        <w:rPr/>
      </w:pPr>
    </w:p>
    <w:p w:rsidR="005A76FB" w:rsidRDefault="005A76FB" w:rsidP="005A76FB">
      <w:pPr>
        <w:spacing w:before="0" w:after="0" w:line="364" w:lineRule="exact"/>
        <w:ind w:firstLine="560" w:left="204"/>
        <w:jc w:val="left"/>
        <w:rPr/>
      </w:pPr>
      <w:r>
        <w:rPr>
          <w:rFonts w:ascii="宋体" w:hAnsi="宋体" w:cs="宋体"/>
          <w:u w:val="none"/>
          <w:sz w:val="28"/>
          <w:position w:val="0"/>
          <w:color w:val="000000"/>
          <w:noProof w:val="true"/>
          <w:spacing w:val="-1"/>
          <w:w w:val="100"/>
        </w:rPr>
        <w:t>剂型的选择要考虑临床治疗的需要。例如用于出血、休克、中毒等急</w:t>
      </w:r>
    </w:p>
    <w:p w:rsidR="005A76FB" w:rsidRDefault="005A76FB" w:rsidP="005A76FB">
      <w:pPr>
        <w:spacing w:before="0" w:after="0" w:lineRule="exact" w:line="240"/>
        <w:ind w:firstLine="560" w:left="204"/>
        <w:rPr/>
      </w:pPr>
    </w:p>
    <w:p w:rsidR="005A76FB" w:rsidRDefault="005A76FB" w:rsidP="005A76FB">
      <w:pPr>
        <w:spacing w:before="0" w:after="0" w:line="384" w:lineRule="exact"/>
        <w:ind w:firstLine="0" w:left="204"/>
        <w:jc w:val="left"/>
        <w:rPr/>
      </w:pPr>
      <w:r>
        <w:rPr>
          <w:rFonts w:ascii="宋体" w:eastAsia="宋体" w:hAnsi="宋体" w:cs="宋体"/>
          <w:u w:val="none"/>
          <w:sz w:val="28"/>
          <w:position w:val="0"/>
          <w:color w:val="000000"/>
          <w:noProof w:val="true"/>
          <w:spacing w:val="-2"/>
          <w:w w:val="100"/>
        </w:rPr>
        <w:t>救治疗的药物，通常应选择注射剂型；心律失常抢救用药宜选择，静脉推</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注的注射剂；控制哮喘急性发作，宜选择吸入剂。</w:t>
      </w:r>
    </w:p>
    <w:p w:rsidR="005A76FB" w:rsidRDefault="005A76FB" w:rsidP="005A76FB">
      <w:pPr>
        <w:spacing w:before="0" w:after="0" w:lineRule="exact" w:line="233"/>
        <w:ind w:firstLine="0" w:left="204"/>
        <w:rPr/>
      </w:pPr>
    </w:p>
    <w:p w:rsidR="005A76FB" w:rsidRDefault="005A76FB" w:rsidP="005A76FB">
      <w:pPr>
        <w:spacing w:before="0" w:after="0" w:line="417" w:lineRule="exact"/>
        <w:ind w:firstLine="481" w:left="204"/>
        <w:jc w:val="left"/>
        <w:rPr/>
      </w:pPr>
      <w:r>
        <w:rPr>
          <w:rFonts w:ascii="宋体" w:hAnsi="宋体" w:cs="宋体"/>
          <w:u w:val="none"/>
          <w:sz w:val="32"/>
          <w:position w:val="0"/>
          <w:color w:val="000000"/>
          <w:noProof w:val="true"/>
          <w:spacing w:val="-6"/>
          <w:w w:val="100"/>
        </w:rPr>
        <w:t>（三）临床用药的顺应性。</w:t>
      </w:r>
    </w:p>
    <w:p w:rsidR="005A76FB" w:rsidRDefault="005A76FB" w:rsidP="005A76FB">
      <w:pPr>
        <w:spacing w:before="0" w:after="0" w:lineRule="exact" w:line="234"/>
        <w:ind w:firstLine="481" w:left="204"/>
        <w:rPr/>
      </w:pPr>
    </w:p>
    <w:p w:rsidR="005A76FB" w:rsidRDefault="005A76FB" w:rsidP="005A76FB">
      <w:pPr>
        <w:spacing w:before="0" w:after="0" w:line="364" w:lineRule="exact"/>
        <w:ind w:firstLine="560" w:left="204"/>
        <w:jc w:val="left"/>
        <w:rPr/>
      </w:pPr>
      <w:r>
        <w:rPr>
          <w:rFonts w:ascii="宋体" w:hAnsi="宋体" w:cs="宋体"/>
          <w:u w:val="none"/>
          <w:sz w:val="28"/>
          <w:position w:val="0"/>
          <w:color w:val="000000"/>
          <w:noProof w:val="true"/>
          <w:spacing w:val="-1"/>
          <w:w w:val="100"/>
        </w:rPr>
        <w:t>临床用药的顺应性也是剂型选择的重要因素。开发缓释、控释制剂可</w:t>
      </w:r>
    </w:p>
    <w:p w:rsidR="005A76FB" w:rsidRDefault="005A76FB" w:rsidP="005A76FB">
      <w:pPr>
        <w:spacing w:before="0" w:after="0" w:lineRule="exact" w:line="240"/>
        <w:ind w:firstLine="560" w:left="204"/>
        <w:rPr/>
      </w:pPr>
    </w:p>
    <w:p w:rsidR="005A76FB" w:rsidRDefault="005A76FB" w:rsidP="005A76FB">
      <w:pPr>
        <w:spacing w:before="0" w:after="0" w:line="384" w:lineRule="exact"/>
        <w:ind w:firstLine="0" w:left="204"/>
        <w:jc w:val="left"/>
        <w:rPr/>
      </w:pPr>
      <w:r>
        <w:rPr>
          <w:rFonts w:ascii="宋体" w:eastAsia="宋体" w:hAnsi="宋体" w:cs="宋体"/>
          <w:u w:val="none"/>
          <w:sz w:val="28"/>
          <w:position w:val="0"/>
          <w:color w:val="000000"/>
          <w:noProof w:val="true"/>
          <w:spacing w:val="-2"/>
          <w:w w:val="100"/>
        </w:rPr>
        <w:t>以减少给药次数，减小波动系数，平稳血药浓度，降低毒副作用，提高患</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6"/>
          <w:w w:val="100"/>
        </w:rPr>
        <w:t>者的顺应性。对于老年、儿童及吞咽困难的患者，选择口服溶液、泡腾片、</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分散片等剂型有一定优点。</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560" w:left="204"/>
        <w:jc w:val="left"/>
        <w:rPr/>
      </w:pPr>
      <w:r>
        <w:rPr>
          <w:rFonts w:ascii="宋体" w:eastAsia="宋体" w:hAnsi="宋体" w:cs="宋体"/>
          <w:u w:val="none"/>
          <w:sz w:val="28"/>
          <w:position w:val="0"/>
          <w:color w:val="000000"/>
          <w:noProof w:val="true"/>
          <w:spacing w:val="-6"/>
          <w:w w:val="100"/>
        </w:rPr>
        <w:t>另外，剂型选择还要考虑制剂工业化生产的可行性及生产成本</w:t>
      </w:r>
      <w:r>
        <w:rPr>
          <w:rFonts w:ascii="Calibri" w:hAnsi="Calibri" w:cs="Calibri"/>
          <w:u w:val="none"/>
          <w:sz w:val="28"/>
          <w:color w:val="000000"/>
          <w:noProof w:val="true"/>
          <w:spacing w:val="0"/>
          <w:w w:val="218"/>
        </w:rPr>
        <w:t> </w:t>
      </w:r>
      <w:r>
        <w:rPr>
          <w:rFonts w:ascii="宋体" w:hAnsi="宋体" w:cs="宋体"/>
          <w:u w:val="none"/>
          <w:sz w:val="28"/>
          <w:position w:val="0"/>
          <w:color w:val="000000"/>
          <w:noProof w:val="true"/>
          <w:spacing w:val="-10"/>
          <w:w w:val="100"/>
        </w:rPr>
        <w:t>。一些</w:t>
      </w:r>
    </w:p>
    <w:p w:rsidR="005A76FB" w:rsidRDefault="005A76FB" w:rsidP="005A76FB">
      <w:pPr>
        <w:spacing w:before="0" w:after="0" w:lineRule="exact" w:line="240"/>
        <w:ind w:firstLine="560" w:left="204"/>
        <w:rPr/>
      </w:pPr>
    </w:p>
    <w:p w:rsidR="005A76FB" w:rsidRDefault="005A76FB" w:rsidP="005A76FB">
      <w:pPr>
        <w:spacing w:before="0" w:after="0" w:line="384" w:lineRule="exact"/>
        <w:ind w:firstLine="0" w:left="204"/>
        <w:jc w:val="left"/>
        <w:rPr/>
      </w:pPr>
      <w:r>
        <w:rPr>
          <w:rFonts w:ascii="宋体" w:eastAsia="宋体" w:hAnsi="宋体" w:cs="宋体"/>
          <w:u w:val="none"/>
          <w:sz w:val="28"/>
          <w:position w:val="0"/>
          <w:color w:val="000000"/>
          <w:noProof w:val="true"/>
          <w:spacing w:val="-2"/>
          <w:w w:val="100"/>
        </w:rPr>
        <w:t>抗菌药物在剂型选择时应考虑到尽量减少耐药菌的产生，延长药物临床应</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用周期。</w:t>
      </w:r>
    </w:p>
    <w:p w:rsidR="005A76FB" w:rsidRDefault="005A76FB" w:rsidP="005A76FB">
      <w:pPr>
        <w:spacing w:before="0" w:after="0" w:lineRule="exact" w:line="233"/>
        <w:ind w:firstLine="0" w:left="204"/>
        <w:rPr/>
      </w:pPr>
    </w:p>
    <w:p w:rsidR="005A76FB" w:rsidRDefault="005A76FB" w:rsidP="005A76FB">
      <w:pPr>
        <w:spacing w:before="0" w:after="0" w:line="417" w:lineRule="exact"/>
        <w:ind w:firstLine="641" w:left="204"/>
        <w:jc w:val="left"/>
        <w:rPr/>
      </w:pPr>
      <w:r>
        <w:rPr>
          <w:rFonts w:ascii="宋体" w:hAnsi="宋体" w:cs="宋体"/>
          <w:u w:val="none"/>
          <w:sz w:val="32"/>
          <w:position w:val="0"/>
          <w:color w:val="000000"/>
          <w:noProof w:val="true"/>
          <w:spacing w:val="-5"/>
          <w:w w:val="100"/>
        </w:rPr>
        <w:t>四、处方研究</w:t>
      </w:r>
    </w:p>
    <w:p w:rsidR="005A76FB" w:rsidRDefault="005A76FB" w:rsidP="005A76FB">
      <w:pPr>
        <w:spacing w:before="0" w:after="0" w:lineRule="exact" w:line="234"/>
        <w:ind w:firstLine="641" w:left="204"/>
        <w:rPr/>
      </w:pPr>
    </w:p>
    <w:p w:rsidR="005A76FB" w:rsidRDefault="005A76FB" w:rsidP="005A76FB">
      <w:pPr>
        <w:spacing w:before="0" w:after="0" w:line="364" w:lineRule="exact"/>
        <w:ind w:firstLine="560" w:left="204"/>
        <w:jc w:val="left"/>
        <w:rPr/>
      </w:pPr>
      <w:r>
        <w:rPr>
          <w:rFonts w:ascii="宋体" w:hAnsi="宋体" w:cs="宋体"/>
          <w:u w:val="none"/>
          <w:sz w:val="28"/>
          <w:position w:val="0"/>
          <w:color w:val="000000"/>
          <w:noProof w:val="true"/>
          <w:spacing w:val="-1"/>
          <w:w w:val="100"/>
        </w:rPr>
        <w:t>处方研究包括对原料药和辅料的考察、处方设计、处方筛选和优化等</w:t>
      </w:r>
    </w:p>
    <w:p w:rsidR="005A76FB" w:rsidRDefault="005A76FB" w:rsidP="005A76FB">
      <w:pPr>
        <w:spacing w:before="0" w:after="0" w:lineRule="exact" w:line="240"/>
        <w:ind w:firstLine="56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2"/>
          <w:w w:val="100"/>
        </w:rPr>
        <w:t>工作。处方研究与制剂质量研究、稳定性实验和安全性、有效性评价密切</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2"/>
          <w:w w:val="100"/>
        </w:rPr>
        <w:t>相关。处方研究结果为制剂质量标准的设定和评估提供了参考和依据，也</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2"/>
          <w:w w:val="100"/>
        </w:rPr>
        <w:t>为药品生产过程控制参数的设定提供了参考。处方研究中需要注意实验数</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据的积累和分析。</w:t>
      </w:r>
    </w:p>
    <w:p w:rsidR="005A76FB" w:rsidRDefault="005A76FB" w:rsidP="005A76FB">
      <w:pPr>
        <w:spacing w:before="0" w:after="0" w:lineRule="exact" w:line="233"/>
        <w:ind w:firstLine="0" w:left="204"/>
        <w:rPr/>
      </w:pPr>
    </w:p>
    <w:p w:rsidR="005A76FB" w:rsidRDefault="005A76FB" w:rsidP="005A76FB">
      <w:pPr>
        <w:spacing w:before="0" w:after="0" w:line="417" w:lineRule="exact"/>
        <w:ind w:firstLine="481" w:left="204"/>
        <w:jc w:val="left"/>
        <w:rPr/>
      </w:pPr>
      <w:r>
        <w:rPr>
          <w:rFonts w:ascii="宋体" w:eastAsia="宋体" w:hAnsi="宋体" w:cs="宋体"/>
          <w:u w:val="none"/>
          <w:sz w:val="32"/>
          <w:position w:val="0"/>
          <w:color w:val="000000"/>
          <w:noProof w:val="true"/>
          <w:spacing w:val="-6"/>
          <w:w w:val="100"/>
        </w:rPr>
        <w:t>（一）原料药</w:t>
      </w:r>
    </w:p>
    <w:p w:rsidR="005A76FB" w:rsidRDefault="005A76FB" w:rsidP="005A76FB">
      <w:pPr>
        <w:spacing w:before="0" w:after="0" w:lineRule="exact" w:line="234"/>
        <w:ind w:firstLine="481" w:left="204"/>
        <w:rPr/>
      </w:pPr>
    </w:p>
    <w:p w:rsidR="005A76FB" w:rsidRDefault="005A76FB" w:rsidP="005A76FB">
      <w:pPr>
        <w:spacing w:before="0" w:after="0" w:line="364" w:lineRule="exact"/>
        <w:ind w:firstLine="559" w:left="204"/>
        <w:jc w:val="left"/>
        <w:rPr/>
      </w:pPr>
      <w:r>
        <w:rPr>
          <w:rFonts w:ascii="宋体" w:hAnsi="宋体" w:cs="宋体"/>
          <w:u w:val="none"/>
          <w:sz w:val="28"/>
          <w:position w:val="0"/>
          <w:color w:val="000000"/>
          <w:noProof w:val="true"/>
          <w:spacing w:val="-1"/>
          <w:w w:val="100"/>
        </w:rPr>
        <w:t>原料药理化性质、生物学性质及相容性等研究结果，可以为处方设计</w:t>
      </w:r>
    </w:p>
    <w:p w:rsidR="005A76FB" w:rsidRDefault="005A76FB" w:rsidP="005A76FB">
      <w:pPr>
        <w:spacing w:before="0" w:after="0" w:lineRule="exact" w:line="240"/>
        <w:ind w:firstLine="559"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提供依据。</w:t>
      </w:r>
    </w:p>
    <w:p w:rsidR="005A76FB" w:rsidRDefault="005A76FB" w:rsidP="005A76FB">
      <w:pPr>
        <w:widowControl/>
        <w:jc w:val="left"/>
        <w:rPr/>
        <w:sectPr w:rsidR="005A76FB" w:rsidSect="005A76FB">
          <w:type w:val="continuous"/>
          <w:pgSz w:w="11900" w:h="16840"/>
          <w:pgMar w:top="795" w:right="854" w:bottom="555" w:left="1214" w:header="0" w:footer="0" w:gutter="0"/>
          <w:cols w:num="1" w:equalWidth="0">
            <w:col w:w="9832" w:space="0"/>
          </w:cols>
          <w:docGrid w:type="lines" w:linePitch="312"/>
        </w:sectPr>
      </w:pPr>
    </w:p>
    <w:p w:rsidR="005A76FB" w:rsidRDefault="005A76FB" w:rsidP="005A76FB">
      <w:pPr>
        <w:spacing w:before="0" w:after="0" w:lineRule="exact" w:line="240"/>
        <w:ind w:firstLine="0" w:left="204"/>
        <w:rPr/>
      </w:pPr>
    </w:p>
    <w:p w:rsidR="005A76FB" w:rsidRDefault="005A76FB" w:rsidP="005A76FB">
      <w:pPr>
        <w:spacing w:before="0" w:after="0" w:lineRule="exact" w:line="240"/>
        <w:ind w:firstLine="0" w:left="204"/>
        <w:rPr/>
      </w:pPr>
    </w:p>
    <w:p w:rsidR="005A76FB" w:rsidRDefault="005A76FB" w:rsidP="005A76FB">
      <w:pPr>
        <w:spacing w:before="0" w:after="0" w:lineRule="exact" w:line="240"/>
        <w:ind w:firstLine="0" w:left="204"/>
        <w:rPr/>
      </w:pPr>
    </w:p>
    <w:p w:rsidR="005A76FB" w:rsidRDefault="005A76FB" w:rsidP="005A76FB">
      <w:pPr>
        <w:spacing w:before="0" w:after="0" w:lineRule="exact" w:line="240"/>
        <w:ind w:firstLine="0" w:left="204"/>
        <w:rPr/>
      </w:pPr>
    </w:p>
    <w:p w:rsidR="005A76FB" w:rsidRDefault="005A76FB" w:rsidP="005A76FB">
      <w:pPr>
        <w:spacing w:before="0" w:after="0" w:lineRule="exact" w:line="390"/>
        <w:ind w:firstLine="0" w:left="204"/>
        <w:rPr/>
      </w:pPr>
    </w:p>
    <w:p w:rsidR="005A76FB" w:rsidRDefault="005A76FB" w:rsidP="005A76FB">
      <w:pPr>
        <w:widowControl/>
        <w:jc w:val="left"/>
        <w:rPr/>
        <w:sectPr w:rsidR="005A76FB" w:rsidSect="005A76FB">
          <w:type w:val="continuous"/>
          <w:pgSz w:w="11900" w:h="16840"/>
          <w:pgMar w:top="795" w:right="854" w:bottom="555" w:left="1214" w:header="0" w:footer="0" w:gutter="0"/>
          <w:docGrid w:type="lines" w:linePitch="312"/>
        </w:sectPr>
      </w:pPr>
    </w:p>
    <w:p w:rsidR="005A76FB" w:rsidRDefault="005A76FB" w:rsidP="005A76FB">
      <w:pPr>
        <w:spacing w:before="0" w:after="0" w:line="232" w:lineRule="exact"/>
        <w:ind w:firstLine="0" w:left="4686"/>
        <w:jc w:val="left"/>
        <w:rPr/>
      </w:pPr>
      <w:r>
        <w:rPr>
          <w:rFonts w:ascii="Times New Roman" w:hAnsi="Times New Roman" w:cs="Times New Roman"/>
          <w:u w:val="none"/>
          <w:sz w:val="21"/>
          <w:position w:val="0"/>
          <w:color w:val="000000"/>
          <w:noProof w:val="true"/>
          <w:spacing w:val="-3"/>
          <w:w w:val="100"/>
        </w:rPr>
        <w:t>4</w:t>
      </w:r>
    </w:p>
    <w:p w:rsidR="005A76FB" w:rsidRDefault="005A76FB" w:rsidP="005A76FB">
      <w:pPr>
        <w:widowControl/>
        <w:jc w:val="left"/>
        <w:rPr/>
        <w:sectPr w:rsidR="005A76FB" w:rsidSect="005A76FB">
          <w:type w:val="continuous"/>
          <w:pgSz w:w="11900" w:h="16840"/>
          <w:pgMar w:top="795" w:right="854" w:bottom="555" w:left="1214" w:header="0" w:footer="0" w:gutter="0"/>
          <w:cols w:num="1" w:equalWidth="0">
            <w:col w:w="9832" w:space="0"/>
          </w:cols>
          <w:docGrid w:type="lines" w:linePitch="312"/>
        </w:sectPr>
      </w:pPr>
    </w:p>
    <w:bookmarkStart w:id="7" w:name="7"/>
    <w:bookmarkEnd w:id="7"/>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34" w:lineRule="exact"/>
        <w:ind w:left="-1279" w:firstLine="2059"/>
        <w:jc w:val="left"/>
        <w:rPr/>
      </w:pPr>
      <w:r>
        <w:rPr>
          <w:rFonts w:ascii="宋体" w:hAnsi="宋体" w:cs="宋体"/>
          <w:u w:val="none"/>
          <w:sz w:val="32"/>
          <w:position w:val="0"/>
          <w:color w:val="000000"/>
          <w:noProof w:val="true"/>
          <w:spacing w:val="-7"/>
          <w:w w:val="100"/>
        </w:rPr>
        <w:t>1、理化性质</w:t>
      </w:r>
    </w:p>
    <w:p w:rsidR="005A76FB" w:rsidRDefault="005A76FB" w:rsidP="005A76FB">
      <w:pPr>
        <w:spacing w:before="0" w:after="0" w:lineRule="exact" w:line="234"/>
        <w:ind w:left="-1279" w:firstLine="2059"/>
        <w:rPr/>
      </w:pPr>
    </w:p>
    <w:p w:rsidR="005A76FB" w:rsidRDefault="005A76FB" w:rsidP="005A76FB">
      <w:pPr>
        <w:spacing w:before="0" w:after="0" w:line="364" w:lineRule="exact"/>
        <w:ind w:firstLine="1979" w:left="-1279"/>
        <w:jc w:val="left"/>
        <w:rPr/>
      </w:pPr>
      <w:r>
        <w:rPr>
          <w:rFonts w:ascii="宋体" w:eastAsia="宋体" w:hAnsi="宋体" w:cs="宋体"/>
          <w:u w:val="none"/>
          <w:sz w:val="28"/>
          <w:position w:val="0"/>
          <w:color w:val="000000"/>
          <w:noProof w:val="true"/>
          <w:spacing w:val="-1"/>
          <w:w w:val="100"/>
        </w:rPr>
        <w:t>原料药某些理化性质可能对制剂质量及制剂生产造成影响，包括原料</w:t>
      </w:r>
    </w:p>
    <w:p w:rsidR="005A76FB" w:rsidRDefault="005A76FB" w:rsidP="005A76FB">
      <w:pPr>
        <w:spacing w:before="0" w:after="0" w:lineRule="exact" w:line="240"/>
        <w:ind w:firstLine="1979"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4"/>
          <w:w w:val="100"/>
        </w:rPr>
        <w:t>药的色泽、嗅味、pH值、pka、粒度、晶型、比旋度、光学异构体、熔点、</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水分、溶解度、油/水分配系数、溶剂化/或水合状态等，以及原料药在固</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6"/>
          <w:w w:val="100"/>
        </w:rPr>
        <w:t>态和/或溶液状态下在光、热、湿、氧等条件下的稳定性情况。因此，建议</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eastAsia="宋体" w:hAnsi="宋体" w:cs="宋体"/>
          <w:u w:val="none"/>
          <w:sz w:val="28"/>
          <w:position w:val="0"/>
          <w:color w:val="000000"/>
          <w:noProof w:val="true"/>
          <w:spacing w:val="-2"/>
          <w:w w:val="100"/>
        </w:rPr>
        <w:t>根据剂型的特点及药品给药途径，对原料药有关关键理化性质进行了解，</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并通过试验考察其对制剂的影响。譬如，药物的溶解性可能对制剂性能及</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分析方法产生影响，是进行处方设计时需要考虑的重要理化常数之一。原</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料药粒度可能影响难溶性药物的溶解性能、液体中的混悬性、制剂的含量</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均匀性，有时还会对生物利用度及临床疗效产生显著影响。如果存在上述</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5"/>
          <w:w w:val="100"/>
        </w:rPr>
        <w:t>情况，则需要考察原料药粒度对制剂相关性质的影响。</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979" w:left="-1279"/>
        <w:jc w:val="left"/>
        <w:rPr/>
      </w:pPr>
      <w:r>
        <w:rPr>
          <w:rFonts w:ascii="宋体" w:eastAsia="宋体" w:hAnsi="宋体" w:cs="宋体"/>
          <w:u w:val="none"/>
          <w:sz w:val="28"/>
          <w:position w:val="0"/>
          <w:color w:val="000000"/>
          <w:noProof w:val="true"/>
          <w:spacing w:val="-1"/>
          <w:w w:val="100"/>
        </w:rPr>
        <w:t>如果研究结果证明某些参数变异大，而这些参数对保证制剂质量非常</w:t>
      </w:r>
    </w:p>
    <w:p w:rsidR="005A76FB" w:rsidRDefault="005A76FB" w:rsidP="005A76FB">
      <w:pPr>
        <w:spacing w:before="0" w:after="0" w:lineRule="exact" w:line="240"/>
        <w:ind w:firstLine="1979" w:left="-1279"/>
        <w:rPr/>
      </w:pPr>
    </w:p>
    <w:p w:rsidR="005A76FB" w:rsidRDefault="005A76FB" w:rsidP="005A76FB">
      <w:pPr>
        <w:spacing w:before="0" w:after="0" w:line="384" w:lineRule="exact"/>
        <w:ind w:firstLine="1418" w:left="-1279"/>
        <w:jc w:val="left"/>
        <w:rPr/>
      </w:pPr>
      <w:r>
        <w:rPr>
          <w:rFonts w:ascii="宋体" w:eastAsia="宋体" w:hAnsi="宋体" w:cs="宋体"/>
          <w:u w:val="none"/>
          <w:sz w:val="28"/>
          <w:position w:val="0"/>
          <w:color w:val="000000"/>
          <w:noProof w:val="true"/>
          <w:spacing w:val="-2"/>
          <w:w w:val="100"/>
        </w:rPr>
        <w:t>重要，这时，需要注意对原料药质控标准进行完善，增加这些参数的检查</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并规定限度。对于影响制剂生物利用度的重要参数（如粒度、晶型等），</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5"/>
          <w:w w:val="100"/>
        </w:rPr>
        <w:t>其限度的制订尚需要依据临床研究的结果。</w:t>
      </w:r>
    </w:p>
    <w:p w:rsidR="005A76FB" w:rsidRDefault="005A76FB" w:rsidP="005A76FB">
      <w:pPr>
        <w:spacing w:before="0" w:after="0" w:lineRule="exact" w:line="233"/>
        <w:ind w:firstLine="1418" w:left="-1279"/>
        <w:rPr/>
      </w:pPr>
    </w:p>
    <w:p w:rsidR="005A76FB" w:rsidRDefault="005A76FB" w:rsidP="005A76FB">
      <w:pPr>
        <w:spacing w:before="0" w:after="0" w:line="417" w:lineRule="exact"/>
        <w:ind w:firstLine="2059" w:left="-1279"/>
        <w:jc w:val="left"/>
        <w:rPr/>
      </w:pPr>
      <w:r>
        <w:rPr>
          <w:rFonts w:ascii="宋体" w:hAnsi="宋体" w:cs="宋体"/>
          <w:u w:val="none"/>
          <w:sz w:val="32"/>
          <w:position w:val="0"/>
          <w:color w:val="000000"/>
          <w:noProof w:val="true"/>
          <w:spacing w:val="-6"/>
          <w:w w:val="100"/>
        </w:rPr>
        <w:t>2、生物学性质</w:t>
      </w:r>
    </w:p>
    <w:p w:rsidR="005A76FB" w:rsidRDefault="005A76FB" w:rsidP="005A76FB">
      <w:pPr>
        <w:spacing w:before="0" w:after="0" w:lineRule="exact" w:line="234"/>
        <w:ind w:firstLine="2059" w:left="-1279"/>
        <w:rPr/>
      </w:pPr>
    </w:p>
    <w:p w:rsidR="005A76FB" w:rsidRDefault="005A76FB" w:rsidP="005A76FB">
      <w:pPr>
        <w:spacing w:before="0" w:after="0" w:line="364" w:lineRule="exact"/>
        <w:ind w:firstLine="1979" w:left="-1279"/>
        <w:jc w:val="left"/>
        <w:rPr/>
      </w:pPr>
      <w:r>
        <w:rPr>
          <w:rFonts w:ascii="宋体" w:eastAsia="宋体" w:hAnsi="宋体" w:cs="宋体"/>
          <w:u w:val="none"/>
          <w:sz w:val="28"/>
          <w:position w:val="0"/>
          <w:color w:val="000000"/>
          <w:noProof w:val="true"/>
          <w:spacing w:val="-1"/>
          <w:w w:val="100"/>
        </w:rPr>
        <w:t>原料药生物学性质包括对生物膜的通透性，在生理环境下的稳定性，</w:t>
      </w:r>
    </w:p>
    <w:p w:rsidR="005A76FB" w:rsidRDefault="005A76FB" w:rsidP="005A76FB">
      <w:pPr>
        <w:spacing w:before="0" w:after="0" w:lineRule="exact" w:line="240"/>
        <w:ind w:firstLine="1979"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原料药的吸收、分布、代谢、消除等药代动力学性质，药物的毒副作用及</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治疗窗等。原料药生物学性质对制剂研究有重要指导作用。对于口服吸收</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较差的药物，通过选择适当的制剂技术和处方，可能改善药物的吸收。如</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药代动力学研究结果提示药物口服吸收极差，可考虑选择注射剂等剂型。</w:t>
      </w:r>
    </w:p>
    <w:p w:rsidR="005A76FB" w:rsidRDefault="005A76FB" w:rsidP="005A76FB">
      <w:pPr>
        <w:spacing w:before="0" w:after="0" w:lineRule="exact" w:line="240"/>
        <w:ind w:firstLine="1418" w:left="-1279"/>
        <w:rPr/>
      </w:pPr>
    </w:p>
    <w:p w:rsidR="005A76FB" w:rsidRDefault="005A76FB" w:rsidP="005A76FB">
      <w:pPr>
        <w:spacing w:before="0" w:after="0" w:line="384" w:lineRule="exact"/>
        <w:ind w:firstLine="1418" w:left="-1279"/>
        <w:jc w:val="left"/>
        <w:rPr/>
      </w:pPr>
      <w:r>
        <w:rPr>
          <w:rFonts w:ascii="宋体" w:hAnsi="宋体" w:cs="宋体"/>
          <w:u w:val="none"/>
          <w:sz w:val="28"/>
          <w:position w:val="0"/>
          <w:color w:val="000000"/>
          <w:noProof w:val="true"/>
          <w:spacing w:val="-2"/>
          <w:w w:val="100"/>
        </w:rPr>
        <w:t>缓释、控释制剂对药物的半衰期、治疗指数、吸收部位等均有一定要求，</w:t>
      </w:r>
    </w:p>
    <w:p w:rsidR="005A76FB" w:rsidRDefault="005A76FB" w:rsidP="005A76FB">
      <w:pPr>
        <w:spacing w:before="0" w:after="0" w:lineRule="exact" w:line="240"/>
        <w:ind w:firstLine="1418" w:left="-1279"/>
        <w:rPr/>
      </w:pPr>
    </w:p>
    <w:p w:rsidR="005A76FB" w:rsidRDefault="005A76FB" w:rsidP="005A76FB">
      <w:pPr>
        <w:spacing w:before="0" w:after="0" w:lineRule="exact" w:line="240"/>
        <w:ind w:firstLine="1418" w:left="-1279"/>
        <w:rPr/>
      </w:pPr>
    </w:p>
    <w:p w:rsidR="005A76FB" w:rsidRDefault="005A76FB" w:rsidP="005A76FB">
      <w:pPr>
        <w:spacing w:before="0" w:after="0" w:lineRule="exact" w:line="240"/>
        <w:ind w:firstLine="1418" w:left="-1279"/>
        <w:rPr/>
      </w:pPr>
    </w:p>
    <w:p w:rsidR="005A76FB" w:rsidRDefault="005A76FB" w:rsidP="005A76FB">
      <w:pPr>
        <w:sectPr w:rsidR="005A76FB" w:rsidSect="005A76FB">
          <w:type w:val="continuous"/>
          <w:pgSz w:w="11900" w:h="16841"/>
          <w:pgMar w:top="795" w:right="920" w:bottom="555" w:left="1280" w:header="0" w:footer="0" w:gutter="0"/>
        </w:sectPr>
        <w:spacing w:before="0" w:after="0" w:line="238" w:lineRule="exact"/>
        <w:ind w:firstLine="5900" w:left="-1279"/>
        <w:jc w:val="left"/>
        <w:rPr/>
      </w:pPr>
      <w:r>
        <w:rPr>
          <w:rFonts w:ascii="Times New Roman" w:hAnsi="Times New Roman" w:cs="Times New Roman"/>
          <w:u w:val="none"/>
          <w:sz w:val="21"/>
          <w:position w:val="0"/>
          <w:color w:val="000000"/>
          <w:noProof w:val="true"/>
          <w:spacing w:val="-3"/>
          <w:w w:val="100"/>
        </w:rPr>
        <w:t>5</w:t>
      </w:r>
    </w:p>
    <w:bookmarkStart w:id="8" w:name="8"/>
    <w:bookmarkEnd w:id="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3" w:firstLine="1418"/>
        <w:jc w:val="left"/>
        <w:rPr/>
      </w:pPr>
      <w:r>
        <w:rPr>
          <w:rFonts w:ascii="宋体" w:hAnsi="宋体" w:cs="宋体"/>
          <w:u w:val="none"/>
          <w:sz w:val="28"/>
          <w:position w:val="0"/>
          <w:color w:val="000000"/>
          <w:noProof w:val="true"/>
          <w:spacing w:val="-5"/>
          <w:w w:val="100"/>
        </w:rPr>
        <w:t>研发中需要特别注意。</w:t>
      </w:r>
    </w:p>
    <w:p w:rsidR="005A76FB" w:rsidRDefault="005A76FB" w:rsidP="005A76FB">
      <w:pPr>
        <w:spacing w:before="0" w:after="0" w:lineRule="exact" w:line="233"/>
        <w:ind w:left="-1213" w:firstLine="1418"/>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6"/>
          <w:w w:val="100"/>
        </w:rPr>
        <w:t>3、相容性研究</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1"/>
          <w:w w:val="100"/>
        </w:rPr>
        <w:t>本相容性研究指药物与辅料间及药物与药物间相互作用研究。前者将</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在下面辅料部分进行阐述。后者主要是复方制剂研究中需要考虑的问题，</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5"/>
          <w:w w:val="100"/>
        </w:rPr>
        <w:t>实验可参照药物稳定性指导原则中影</w:t>
      </w:r>
      <w:r>
        <w:rPr>
          <w:rFonts w:ascii="宋体" w:hAnsi="宋体" w:cs="宋体"/>
          <w:u w:val="none"/>
          <w:sz w:val="28"/>
          <w:position w:val="0"/>
          <w:color w:val="000000"/>
          <w:noProof w:val="true"/>
          <w:spacing w:val="-5"/>
          <w:w w:val="100"/>
        </w:rPr>
        <w:t>响因素的实验方法进行。</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1900" w:left="-1213"/>
        <w:jc w:val="left"/>
        <w:rPr/>
      </w:pPr>
      <w:r>
        <w:rPr>
          <w:rFonts w:ascii="宋体" w:eastAsia="宋体" w:hAnsi="宋体" w:cs="宋体"/>
          <w:u w:val="none"/>
          <w:sz w:val="32"/>
          <w:position w:val="0"/>
          <w:color w:val="000000"/>
          <w:noProof w:val="true"/>
          <w:spacing w:val="-5"/>
          <w:w w:val="100"/>
        </w:rPr>
        <w:t>（二）辅料</w:t>
      </w:r>
    </w:p>
    <w:p w:rsidR="005A76FB" w:rsidRDefault="005A76FB" w:rsidP="005A76FB">
      <w:pPr>
        <w:spacing w:before="0" w:after="0" w:line="624" w:lineRule="exact"/>
        <w:ind w:firstLine="2059" w:left="-1213"/>
        <w:jc w:val="left"/>
        <w:rPr/>
      </w:pPr>
      <w:r>
        <w:rPr>
          <w:rFonts w:ascii="宋体" w:hAnsi="宋体" w:cs="宋体"/>
          <w:u w:val="none"/>
          <w:sz w:val="32"/>
          <w:position w:val="0"/>
          <w:color w:val="000000"/>
          <w:noProof w:val="true"/>
          <w:spacing w:val="-6"/>
          <w:w w:val="100"/>
        </w:rPr>
        <w:t>1、辅料选择的一般原则</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6"/>
          <w:w w:val="100"/>
        </w:rPr>
        <w:t>辅料是制剂中除主药外其他物料的总称，是药物制剂的重要组成部分。</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辅料可根据剂型的特点及药品给药途径的需要进行选择，所用辅料不应与</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主药发生不良相互作用，不影响制剂的含量测定及有关物质检查。生产药</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品所需的辅料必须符合药用要求。</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6"/>
          <w:w w:val="100"/>
        </w:rPr>
        <w:t>2、相容性研究</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7"/>
          <w:w w:val="100"/>
        </w:rPr>
        <w:t>药物与辅料相容性研究为处方中辅料的选择提供了有益的信息和参</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考。药品申请人可以通过前期调研，了解辅料与辅料间、辅料与药物间相</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互作用情况，以避免处方设计时选择不宜的辅料。对于缺乏相关研究数据</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的，可考虑进行相容性研究。例如口服固体制剂，可选若干种辅料，若辅</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6"/>
          <w:w w:val="100"/>
        </w:rPr>
        <w:t>料用量较大的（如稀释剂等），可按主药：辅料=1：5的比例混合，若用量</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较小的（如润滑剂等），可按主药：辅料=20：1的比例混合，取一定量，</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参照药物稳定性指导原则中影响因素的实验方法或其他适宜的实验方法，</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重点考察性状、含量、有关物质等等，必要时，可用原料药和辅料分别做</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5"/>
          <w:w w:val="100"/>
        </w:rPr>
        <w:t>平行对照实验，以判别是原料药本身</w:t>
      </w:r>
      <w:r>
        <w:rPr>
          <w:rFonts w:ascii="宋体" w:hAnsi="宋体" w:cs="宋体"/>
          <w:u w:val="none"/>
          <w:sz w:val="28"/>
          <w:position w:val="0"/>
          <w:color w:val="000000"/>
          <w:noProof w:val="true"/>
          <w:spacing w:val="-5"/>
          <w:w w:val="100"/>
        </w:rPr>
        <w:t>的变化还是辅料的影响。</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8" w:left="-1213"/>
        <w:jc w:val="left"/>
        <w:rPr/>
      </w:pPr>
      <w:r>
        <w:rPr>
          <w:rFonts w:ascii="宋体" w:eastAsia="宋体" w:hAnsi="宋体" w:cs="宋体"/>
          <w:u w:val="none"/>
          <w:sz w:val="28"/>
          <w:position w:val="0"/>
          <w:color w:val="000000"/>
          <w:noProof w:val="true"/>
          <w:spacing w:val="-1"/>
          <w:w w:val="100"/>
        </w:rPr>
        <w:t>如处方中使用了与药物有相互作用的辅料，需要用实验数据证明处方</w:t>
      </w:r>
    </w:p>
    <w:p w:rsidR="005A76FB" w:rsidRDefault="005A76FB" w:rsidP="005A76FB">
      <w:pPr>
        <w:spacing w:before="0" w:after="0" w:lineRule="exact" w:line="240"/>
        <w:ind w:firstLine="1978" w:left="-1213"/>
        <w:rPr/>
      </w:pPr>
    </w:p>
    <w:p w:rsidR="005A76FB" w:rsidRDefault="005A76FB" w:rsidP="005A76FB">
      <w:pPr>
        <w:spacing w:before="0" w:after="0" w:lineRule="exact" w:line="240"/>
        <w:ind w:firstLine="1978" w:left="-1213"/>
        <w:rPr/>
      </w:pPr>
    </w:p>
    <w:p w:rsidR="005A76FB" w:rsidRDefault="005A76FB" w:rsidP="005A76FB">
      <w:pPr>
        <w:spacing w:before="0" w:after="0" w:lineRule="exact" w:line="240"/>
        <w:ind w:firstLine="1978" w:left="-1213"/>
        <w:rPr/>
      </w:pPr>
    </w:p>
    <w:p w:rsidR="005A76FB" w:rsidRDefault="005A76FB" w:rsidP="005A76FB">
      <w:pPr>
        <w:sectPr w:rsidR="005A76FB" w:rsidSect="005A76FB">
          <w:type w:val="continuous"/>
          <w:pgSz w:w="11900" w:h="16840"/>
          <w:pgMar w:top="795" w:right="854" w:bottom="555" w:left="1214" w:header="0" w:footer="0" w:gutter="0"/>
        </w:sectPr>
        <w:spacing w:before="0" w:after="0" w:line="238" w:lineRule="exact"/>
        <w:ind w:firstLine="5900" w:left="-1213"/>
        <w:jc w:val="left"/>
        <w:rPr/>
      </w:pPr>
      <w:r>
        <w:rPr>
          <w:rFonts w:ascii="Times New Roman" w:hAnsi="Times New Roman" w:cs="Times New Roman"/>
          <w:u w:val="none"/>
          <w:sz w:val="21"/>
          <w:position w:val="0"/>
          <w:color w:val="000000"/>
          <w:noProof w:val="true"/>
          <w:spacing w:val="-3"/>
          <w:w w:val="100"/>
        </w:rPr>
        <w:t>6</w:t>
      </w:r>
    </w:p>
    <w:bookmarkStart w:id="9" w:name="9"/>
    <w:bookmarkEnd w:id="9"/>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3" w:firstLine="1418"/>
        <w:jc w:val="left"/>
        <w:rPr/>
      </w:pPr>
      <w:r>
        <w:rPr>
          <w:rFonts w:ascii="宋体" w:hAnsi="宋体" w:cs="宋体"/>
          <w:u w:val="none"/>
          <w:sz w:val="28"/>
          <w:position w:val="0"/>
          <w:color w:val="000000"/>
          <w:noProof w:val="true"/>
          <w:spacing w:val="-5"/>
          <w:w w:val="100"/>
        </w:rPr>
        <w:t>的合理性。</w:t>
      </w:r>
    </w:p>
    <w:p w:rsidR="005A76FB" w:rsidRDefault="005A76FB" w:rsidP="005A76FB">
      <w:pPr>
        <w:spacing w:before="0" w:after="0" w:lineRule="exact" w:line="233"/>
        <w:ind w:left="-1213" w:firstLine="1418"/>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6"/>
          <w:w w:val="100"/>
        </w:rPr>
        <w:t>3、辅料的理化性质及用量</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1"/>
          <w:w w:val="100"/>
        </w:rPr>
        <w:t>辅料理化性质（包括分子量及其分布、取代度、粘度、性状、粒度及</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其分布、流动性、水分、pH值等）的变化影响制剂的质量，例如，稀释剂</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的粒度、密度变化可能对固体制剂的含量均匀性产生影响，缓释、控释制</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剂中使用的高分子材料的分子量或粘度变化可能对药物释放行为有较显著</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的影响。辅料理化性质的变化可能是辅料生产过程造成的，也可能与辅料</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供货来源改变有关。因此，需要根据制剂的特点及药品给药途径，分析处</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方中辅料可能影响制剂质量的理化性质，如果研究证实这些参数对保证制</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6"/>
          <w:w w:val="100"/>
        </w:rPr>
        <w:t>剂质量非常重要，为保证辅料质量的稳定，应制订或完善相应的质控指标，</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注意选择适宜的供货来源，明确辅料的规格、型号。</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eastAsia="宋体" w:hAnsi="宋体" w:cs="宋体"/>
          <w:u w:val="none"/>
          <w:sz w:val="28"/>
          <w:position w:val="0"/>
          <w:color w:val="000000"/>
          <w:noProof w:val="true"/>
          <w:spacing w:val="-1"/>
          <w:w w:val="100"/>
        </w:rPr>
        <w:t>了解辅料在上市药品中的给药途径及其合理用量范围是处方前研究工</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作的一项重要内容，这些信息可以为处方设计提供科学的依据。药品申请</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人可以通过检索FDA等国内外权威数据库，了解所考察的辅料在上市药品</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中的合理使用情况。对某些具有生理活性的辅料、超出常规用量且无文献</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支持的辅料、改变给药途径的辅料，</w:t>
      </w:r>
      <w:r>
        <w:rPr>
          <w:rFonts w:ascii="宋体" w:eastAsia="宋体" w:hAnsi="宋体" w:cs="宋体"/>
          <w:u w:val="none"/>
          <w:sz w:val="28"/>
          <w:position w:val="0"/>
          <w:color w:val="000000"/>
          <w:noProof w:val="true"/>
          <w:spacing w:val="-6"/>
          <w:w w:val="100"/>
        </w:rPr>
        <w:t>需</w:t>
      </w:r>
      <w:r>
        <w:rPr>
          <w:rFonts w:ascii="宋体" w:eastAsia="宋体" w:hAnsi="宋体" w:cs="宋体"/>
          <w:u w:val="none"/>
          <w:sz w:val="28"/>
          <w:position w:val="0"/>
          <w:color w:val="000000"/>
          <w:noProof w:val="true"/>
          <w:spacing w:val="-6"/>
          <w:w w:val="100"/>
        </w:rPr>
        <w:t>进</w:t>
      </w:r>
      <w:r>
        <w:rPr>
          <w:rFonts w:ascii="宋体" w:eastAsia="宋体" w:hAnsi="宋体" w:cs="宋体"/>
          <w:u w:val="none"/>
          <w:sz w:val="28"/>
          <w:position w:val="0"/>
          <w:color w:val="000000"/>
          <w:noProof w:val="true"/>
          <w:spacing w:val="-6"/>
          <w:w w:val="100"/>
        </w:rPr>
        <w:t>行</w:t>
      </w:r>
      <w:r>
        <w:rPr>
          <w:rFonts w:ascii="宋体" w:eastAsia="宋体" w:hAnsi="宋体" w:cs="宋体"/>
          <w:u w:val="none"/>
          <w:sz w:val="28"/>
          <w:position w:val="0"/>
          <w:color w:val="000000"/>
          <w:noProof w:val="true"/>
          <w:spacing w:val="-6"/>
          <w:w w:val="100"/>
        </w:rPr>
        <w:t>必</w:t>
      </w:r>
      <w:r>
        <w:rPr>
          <w:rFonts w:ascii="宋体" w:eastAsia="宋体" w:hAnsi="宋体" w:cs="宋体"/>
          <w:u w:val="none"/>
          <w:sz w:val="28"/>
          <w:position w:val="0"/>
          <w:color w:val="000000"/>
          <w:noProof w:val="true"/>
          <w:spacing w:val="-6"/>
          <w:w w:val="100"/>
        </w:rPr>
        <w:t>要</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6"/>
          <w:w w:val="100"/>
        </w:rPr>
        <w:t>安</w:t>
      </w:r>
      <w:r>
        <w:rPr>
          <w:rFonts w:ascii="宋体" w:eastAsia="宋体" w:hAnsi="宋体" w:cs="宋体"/>
          <w:u w:val="none"/>
          <w:sz w:val="28"/>
          <w:position w:val="0"/>
          <w:color w:val="000000"/>
          <w:noProof w:val="true"/>
          <w:spacing w:val="-6"/>
          <w:w w:val="100"/>
        </w:rPr>
        <w:t>全</w:t>
      </w:r>
      <w:r>
        <w:rPr>
          <w:rFonts w:ascii="宋体" w:eastAsia="宋体" w:hAnsi="宋体" w:cs="宋体"/>
          <w:u w:val="none"/>
          <w:sz w:val="28"/>
          <w:position w:val="0"/>
          <w:color w:val="000000"/>
          <w:noProof w:val="true"/>
          <w:spacing w:val="-6"/>
          <w:w w:val="100"/>
        </w:rPr>
        <w:t>性</w:t>
      </w:r>
      <w:r>
        <w:rPr>
          <w:rFonts w:ascii="宋体" w:eastAsia="宋体" w:hAnsi="宋体" w:cs="宋体"/>
          <w:u w:val="none"/>
          <w:sz w:val="28"/>
          <w:position w:val="0"/>
          <w:color w:val="000000"/>
          <w:noProof w:val="true"/>
          <w:spacing w:val="-6"/>
          <w:w w:val="100"/>
        </w:rPr>
        <w:t>试</w:t>
      </w:r>
      <w:r>
        <w:rPr>
          <w:rFonts w:ascii="宋体" w:eastAsia="宋体" w:hAnsi="宋体" w:cs="宋体"/>
          <w:u w:val="none"/>
          <w:sz w:val="28"/>
          <w:position w:val="0"/>
          <w:color w:val="000000"/>
          <w:noProof w:val="true"/>
          <w:spacing w:val="-6"/>
          <w:w w:val="100"/>
        </w:rPr>
        <w:t>验</w:t>
      </w:r>
      <w:r>
        <w:rPr>
          <w:rFonts w:ascii="宋体" w:hAnsi="宋体" w:cs="宋体"/>
          <w:u w:val="none"/>
          <w:sz w:val="28"/>
          <w:position w:val="0"/>
          <w:color w:val="000000"/>
          <w:noProof w:val="true"/>
          <w:spacing w:val="-6"/>
          <w:w w:val="100"/>
        </w:rPr>
        <w:t>。</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1900" w:left="-1213"/>
        <w:jc w:val="left"/>
        <w:rPr/>
      </w:pPr>
      <w:r>
        <w:rPr>
          <w:rFonts w:ascii="宋体" w:eastAsia="宋体" w:hAnsi="宋体" w:cs="宋体"/>
          <w:u w:val="none"/>
          <w:sz w:val="32"/>
          <w:position w:val="0"/>
          <w:color w:val="000000"/>
          <w:noProof w:val="true"/>
          <w:spacing w:val="-6"/>
          <w:w w:val="100"/>
        </w:rPr>
        <w:t>（三）处方设计</w:t>
      </w:r>
    </w:p>
    <w:p w:rsidR="005A76FB" w:rsidRDefault="005A76FB" w:rsidP="005A76FB">
      <w:pPr>
        <w:spacing w:before="0" w:after="0" w:lineRule="exact" w:line="234"/>
        <w:ind w:firstLine="1900"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1"/>
          <w:w w:val="100"/>
        </w:rPr>
        <w:t>处方设计是在前期对药物和辅料有关研究的基础上，根据剂型的特点</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及临床应用的需要，制订几种基本合理的处方，以便开展筛选和优化。除</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各种剂型的基本处方组成外，有时还需要考虑药物、辅料的性质。如片剂</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处方组成通常为稀释剂、粘合剂、崩解剂、润滑剂等，对于难溶性药物，</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可考虑使用适量的改善药物溶出度的辅料。对于某些稳定性差的药物，处</w:t>
      </w:r>
    </w:p>
    <w:p w:rsidR="005A76FB" w:rsidRDefault="005A76FB" w:rsidP="005A76FB">
      <w:pPr>
        <w:spacing w:before="0" w:after="0" w:lineRule="exact" w:line="240"/>
        <w:ind w:firstLine="1418" w:left="-1213"/>
        <w:rPr/>
      </w:pPr>
    </w:p>
    <w:p w:rsidR="005A76FB" w:rsidRDefault="005A76FB" w:rsidP="005A76FB">
      <w:pPr>
        <w:spacing w:before="0" w:after="0" w:lineRule="exact" w:line="240"/>
        <w:ind w:firstLine="1418" w:left="-1213"/>
        <w:rPr/>
      </w:pPr>
    </w:p>
    <w:p w:rsidR="005A76FB" w:rsidRDefault="005A76FB" w:rsidP="005A76FB">
      <w:pPr>
        <w:spacing w:before="0" w:after="0" w:lineRule="exact" w:line="240"/>
        <w:ind w:firstLine="1418" w:left="-1213"/>
        <w:rPr/>
      </w:pPr>
    </w:p>
    <w:p w:rsidR="005A76FB" w:rsidRDefault="005A76FB" w:rsidP="005A76FB">
      <w:pPr>
        <w:sectPr w:rsidR="005A76FB" w:rsidSect="005A76FB">
          <w:type w:val="continuous"/>
          <w:pgSz w:w="11900" w:h="16841"/>
          <w:pgMar w:top="795" w:right="854" w:bottom="555" w:left="1214" w:header="0" w:footer="0" w:gutter="0"/>
        </w:sectPr>
        <w:spacing w:before="0" w:after="0" w:line="238" w:lineRule="exact"/>
        <w:ind w:firstLine="5900" w:left="-1213"/>
        <w:jc w:val="left"/>
        <w:rPr/>
      </w:pPr>
      <w:r>
        <w:rPr>
          <w:rFonts w:ascii="Times New Roman" w:hAnsi="Times New Roman" w:cs="Times New Roman"/>
          <w:u w:val="none"/>
          <w:sz w:val="21"/>
          <w:position w:val="0"/>
          <w:color w:val="000000"/>
          <w:noProof w:val="true"/>
          <w:spacing w:val="-3"/>
          <w:w w:val="100"/>
        </w:rPr>
        <w:t>7</w:t>
      </w:r>
    </w:p>
    <w:bookmarkStart w:id="10" w:name="10"/>
    <w:bookmarkEnd w:id="1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1" w:firstLine="1418"/>
        <w:jc w:val="left"/>
        <w:rPr/>
      </w:pPr>
      <w:r>
        <w:rPr>
          <w:rFonts w:ascii="宋体" w:hAnsi="宋体" w:cs="宋体"/>
          <w:u w:val="none"/>
          <w:sz w:val="28"/>
          <w:position w:val="0"/>
          <w:color w:val="000000"/>
          <w:noProof w:val="true"/>
          <w:spacing w:val="-5"/>
          <w:w w:val="100"/>
        </w:rPr>
        <w:t>方中可考虑使用适量的抗氧剂、金属离子络合剂等。</w:t>
      </w:r>
    </w:p>
    <w:p w:rsidR="005A76FB" w:rsidRDefault="005A76FB" w:rsidP="005A76FB">
      <w:pPr>
        <w:spacing w:before="0" w:after="0" w:lineRule="exact" w:line="233"/>
        <w:ind w:left="-1351" w:firstLine="1418"/>
        <w:rPr/>
      </w:pPr>
    </w:p>
    <w:p w:rsidR="005A76FB" w:rsidRDefault="005A76FB" w:rsidP="005A76FB">
      <w:pPr>
        <w:spacing w:before="0" w:after="0" w:line="417" w:lineRule="exact"/>
        <w:ind w:firstLine="1900" w:left="-1351"/>
        <w:jc w:val="left"/>
        <w:rPr/>
      </w:pPr>
      <w:r>
        <w:rPr>
          <w:rFonts w:ascii="宋体" w:eastAsia="宋体" w:hAnsi="宋体" w:cs="宋体"/>
          <w:u w:val="none"/>
          <w:sz w:val="32"/>
          <w:position w:val="0"/>
          <w:color w:val="000000"/>
          <w:noProof w:val="true"/>
          <w:spacing w:val="-6"/>
          <w:w w:val="100"/>
        </w:rPr>
        <w:t>（四）处方筛选和优化</w:t>
      </w:r>
    </w:p>
    <w:p w:rsidR="005A76FB" w:rsidRDefault="005A76FB" w:rsidP="005A76FB">
      <w:pPr>
        <w:spacing w:before="0" w:after="0" w:lineRule="exact" w:line="234"/>
        <w:ind w:firstLine="1900" w:left="-1351"/>
        <w:rPr/>
      </w:pPr>
    </w:p>
    <w:p w:rsidR="005A76FB" w:rsidRDefault="005A76FB" w:rsidP="005A76FB">
      <w:pPr>
        <w:spacing w:before="0" w:after="0" w:line="364" w:lineRule="exact"/>
        <w:ind w:firstLine="1979" w:left="-1351"/>
        <w:jc w:val="left"/>
        <w:rPr/>
      </w:pPr>
      <w:r>
        <w:rPr>
          <w:rFonts w:ascii="宋体" w:hAnsi="宋体" w:cs="宋体"/>
          <w:u w:val="none"/>
          <w:sz w:val="28"/>
          <w:position w:val="0"/>
          <w:color w:val="000000"/>
          <w:noProof w:val="true"/>
          <w:spacing w:val="-1"/>
          <w:w w:val="100"/>
        </w:rPr>
        <w:t>制剂处方筛选和优化主要包括制剂基本性能评价、稳定性评价、临床</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前和临床评价。经制剂基本性能及稳定性评价初步确定的处方，为后续相</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关体内外研究提供了基础。但是，制剂处方的合理性最终需要根据临床前</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和临床研究（生物等效性研究、药代动力学研究等）的结果进行判定。对</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研究过程中发现影响制剂质量、稳定性、药效的重要因素，如原料药或辅</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料的某些指标，应进行控制，以保证药品质量和药效。</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979" w:left="-1351"/>
        <w:jc w:val="left"/>
        <w:rPr/>
      </w:pPr>
      <w:r>
        <w:rPr>
          <w:rFonts w:ascii="宋体" w:eastAsia="宋体" w:hAnsi="宋体" w:cs="宋体"/>
          <w:u w:val="none"/>
          <w:sz w:val="28"/>
          <w:position w:val="0"/>
          <w:color w:val="000000"/>
          <w:noProof w:val="true"/>
          <w:spacing w:val="-1"/>
          <w:w w:val="100"/>
        </w:rPr>
        <w:t>如在研制剂系国内外已生产并在临床上使用的品种，所采用的处方与</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已有品种的原料药、辅料的种类、规格及用量完全一致，则已有品种处方</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的可靠资料可做为在研制剂处方的参考。同样，制备工艺的研究亦可采用</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此思路。若只是辅料种类相同，而用量、规格、执行标准不同，仍应进行</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处方筛选和优化。</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46" w:left="-1351"/>
        <w:jc w:val="left"/>
        <w:rPr/>
      </w:pPr>
      <w:r>
        <w:rPr>
          <w:rFonts w:ascii="宋体" w:hAnsi="宋体" w:cs="宋体"/>
          <w:u w:val="none"/>
          <w:sz w:val="32"/>
          <w:position w:val="0"/>
          <w:color w:val="000000"/>
          <w:noProof w:val="true"/>
          <w:spacing w:val="-6"/>
          <w:w w:val="100"/>
        </w:rPr>
        <w:t>1、制剂基本性能评价</w:t>
      </w:r>
    </w:p>
    <w:p w:rsidR="005A76FB" w:rsidRDefault="005A76FB" w:rsidP="005A76FB">
      <w:pPr>
        <w:spacing w:before="0" w:after="0" w:lineRule="exact" w:line="234"/>
        <w:ind w:firstLine="2046"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6"/>
          <w:w w:val="100"/>
        </w:rPr>
        <w:t>根据剂型的特点，从附表1中选择影响制剂质量的相关项目，进行制剂</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的基本性能考察。可采用经典的比较法，分别研究不同处方对制剂质量的</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影响。例如，对液体制剂的pH值考察，可以设计不同pH值的系列处方，考</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察一定条件下制剂质量的变化，以评价pH值对处方质量及稳定性的影响，</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初步确定处方的合理pH范围。也可选用正交设计、均匀设计或其他科学的</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方法进行处方筛选和优化。上述研究应尽可能阐明对药品处方有显著性影</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响的因素，如原料药的粒度、晶型、辅料的流动性、分子量、制剂的pH值</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等。</w:t>
      </w: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ectPr w:rsidR="005A76FB" w:rsidSect="005A76FB">
          <w:type w:val="continuous"/>
          <w:pgSz w:w="11900" w:h="16840"/>
          <w:pgMar w:top="795" w:right="992" w:bottom="555" w:left="1352" w:header="0" w:footer="0" w:gutter="0"/>
        </w:sectPr>
        <w:spacing w:before="0" w:after="0" w:line="238" w:lineRule="exact"/>
        <w:ind w:firstLine="5900" w:left="-1351"/>
        <w:jc w:val="left"/>
        <w:rPr/>
      </w:pPr>
      <w:r>
        <w:rPr>
          <w:rFonts w:ascii="Times New Roman" w:hAnsi="Times New Roman" w:cs="Times New Roman"/>
          <w:u w:val="none"/>
          <w:sz w:val="21"/>
          <w:position w:val="0"/>
          <w:color w:val="000000"/>
          <w:noProof w:val="true"/>
          <w:spacing w:val="-3"/>
          <w:w w:val="100"/>
        </w:rPr>
        <w:t>8</w:t>
      </w:r>
    </w:p>
    <w:bookmarkStart w:id="11" w:name="11"/>
    <w:bookmarkEnd w:id="1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1" w:firstLine="1979"/>
        <w:jc w:val="left"/>
        <w:rPr/>
      </w:pPr>
      <w:r>
        <w:rPr>
          <w:rFonts w:ascii="宋体" w:hAnsi="宋体" w:cs="宋体"/>
          <w:u w:val="none"/>
          <w:sz w:val="28"/>
          <w:position w:val="0"/>
          <w:color w:val="000000"/>
          <w:noProof w:val="true"/>
          <w:spacing w:val="-1"/>
          <w:w w:val="100"/>
        </w:rPr>
        <w:t>对某些制剂还需要进行其他相关性能的研究，证明其合理性。例如，</w:t>
      </w:r>
    </w:p>
    <w:p w:rsidR="005A76FB" w:rsidRDefault="005A76FB" w:rsidP="005A76FB">
      <w:pPr>
        <w:spacing w:before="0" w:after="0" w:lineRule="exact" w:line="240"/>
        <w:ind w:left="-1351" w:firstLine="1979"/>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对带有刻痕的可分割片剂，需要首先明确分割后剂量在临床治疗中的合理</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性，在此基础上，对分割后片剂的含量均匀性进行检查，对分割后片剂的</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5"/>
          <w:w w:val="100"/>
        </w:rPr>
        <w:t>药物溶出行为与完整片剂进行比较，</w:t>
      </w:r>
      <w:r>
        <w:rPr>
          <w:rFonts w:ascii="宋体" w:hAnsi="宋体" w:cs="宋体"/>
          <w:u w:val="none"/>
          <w:sz w:val="28"/>
          <w:position w:val="0"/>
          <w:color w:val="000000"/>
          <w:noProof w:val="true"/>
          <w:spacing w:val="-5"/>
          <w:w w:val="100"/>
        </w:rPr>
        <w:t>应符合该片剂标准规定。</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59" w:left="-1351"/>
        <w:jc w:val="left"/>
        <w:rPr/>
      </w:pPr>
      <w:r>
        <w:rPr>
          <w:rFonts w:ascii="宋体" w:hAnsi="宋体" w:cs="宋体"/>
          <w:u w:val="none"/>
          <w:sz w:val="32"/>
          <w:position w:val="0"/>
          <w:color w:val="000000"/>
          <w:noProof w:val="true"/>
          <w:spacing w:val="-6"/>
          <w:w w:val="100"/>
        </w:rPr>
        <w:t>2、稳定性评价</w:t>
      </w:r>
    </w:p>
    <w:p w:rsidR="005A76FB" w:rsidRDefault="005A76FB" w:rsidP="005A76FB">
      <w:pPr>
        <w:spacing w:before="0" w:after="0" w:lineRule="exact" w:line="234"/>
        <w:ind w:firstLine="2059"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1"/>
          <w:w w:val="100"/>
        </w:rPr>
        <w:t>可考虑选择二个以上制剂基本项目考察合格的处方的样品进行影响因</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素考察。根据外观、pH值、药物溶出或释放行为、有关物质及含量等制剂</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关键项目考察结果，筛选出相对满意的处方。</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979" w:left="-1351"/>
        <w:jc w:val="left"/>
        <w:rPr/>
      </w:pPr>
      <w:r>
        <w:rPr>
          <w:rFonts w:ascii="宋体" w:hAnsi="宋体" w:cs="宋体"/>
          <w:u w:val="none"/>
          <w:sz w:val="28"/>
          <w:position w:val="0"/>
          <w:color w:val="000000"/>
          <w:noProof w:val="true"/>
          <w:spacing w:val="-1"/>
          <w:w w:val="100"/>
        </w:rPr>
        <w:t>上述影响因素的实验结果尚不能全面反映所选处方制剂的稳定性。该</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5"/>
          <w:w w:val="100"/>
        </w:rPr>
        <w:t>处方制剂还需通过加速实验及长期留</w:t>
      </w:r>
      <w:r>
        <w:rPr>
          <w:rFonts w:ascii="宋体" w:hAnsi="宋体" w:cs="宋体"/>
          <w:u w:val="none"/>
          <w:sz w:val="28"/>
          <w:position w:val="0"/>
          <w:color w:val="000000"/>
          <w:noProof w:val="true"/>
          <w:spacing w:val="-5"/>
          <w:w w:val="100"/>
        </w:rPr>
        <w:t>样稳定性研究对处方进行评价。</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979" w:left="-1351"/>
        <w:jc w:val="left"/>
        <w:rPr/>
      </w:pPr>
      <w:r>
        <w:rPr>
          <w:rFonts w:ascii="宋体" w:hAnsi="宋体" w:cs="宋体"/>
          <w:u w:val="none"/>
          <w:sz w:val="28"/>
          <w:position w:val="0"/>
          <w:color w:val="000000"/>
          <w:noProof w:val="true"/>
          <w:spacing w:val="-1"/>
          <w:w w:val="100"/>
        </w:rPr>
        <w:t>对于某些制剂，还需根据具体情况进行相关研究。例如，制剂给药时</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拟使用专用溶剂的，或使用前需要用其他溶剂溶解、稀释的（如静脉注射</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用粉针和小针），还需要考虑对制剂与输液等稀释溶剂的配伍变化进行研</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究，主要考察制剂的物理及化学稳定性（如药物吸附、沉淀、变色、含量</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下降、杂质增加等）。考察项目的设置取决于剂型的特性及临床用药的要</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求，具体方法可参考稳定性实验有关指导原则进行。又如，溶液剂药物浓</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度很高或接近饱和，在温度改变时药物可能析出结晶，需要进行低温或冻</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融实验。上述研究结果可为药品的临床使用提供依据。</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59" w:left="-1351"/>
        <w:jc w:val="left"/>
        <w:rPr/>
      </w:pPr>
      <w:r>
        <w:rPr>
          <w:rFonts w:ascii="宋体" w:hAnsi="宋体" w:cs="宋体"/>
          <w:u w:val="none"/>
          <w:sz w:val="32"/>
          <w:position w:val="0"/>
          <w:color w:val="000000"/>
          <w:noProof w:val="true"/>
          <w:spacing w:val="-6"/>
          <w:w w:val="100"/>
        </w:rPr>
        <w:t>3、临床前及临床评价</w:t>
      </w:r>
    </w:p>
    <w:p w:rsidR="005A76FB" w:rsidRDefault="005A76FB" w:rsidP="005A76FB">
      <w:pPr>
        <w:spacing w:before="0" w:after="0" w:lineRule="exact" w:line="234"/>
        <w:ind w:firstLine="2059"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1"/>
          <w:w w:val="100"/>
        </w:rPr>
        <w:t>药品申请人最终需要根据临床前和临床研究结果，对处方做出最终评</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价，这也是制剂处方筛选和优化的重要环节。例如，对于难溶性药物口服</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固体制剂，药物粒度改变对生物利用度可能有较大影响，处方中药物粒度</w:t>
      </w: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ectPr w:rsidR="005A76FB" w:rsidSect="005A76FB">
          <w:type w:val="continuous"/>
          <w:pgSz w:w="11900" w:h="16841"/>
          <w:pgMar w:top="795" w:right="992" w:bottom="555" w:left="1352" w:header="0" w:footer="0" w:gutter="0"/>
        </w:sectPr>
        <w:spacing w:before="0" w:after="0" w:line="238" w:lineRule="exact"/>
        <w:ind w:firstLine="5900" w:left="-1351"/>
        <w:jc w:val="left"/>
        <w:rPr/>
      </w:pPr>
      <w:r>
        <w:rPr>
          <w:rFonts w:ascii="Times New Roman" w:hAnsi="Times New Roman" w:cs="Times New Roman"/>
          <w:u w:val="none"/>
          <w:sz w:val="21"/>
          <w:position w:val="0"/>
          <w:color w:val="000000"/>
          <w:noProof w:val="true"/>
          <w:spacing w:val="-3"/>
          <w:w w:val="100"/>
        </w:rPr>
        <w:t>9</w:t>
      </w:r>
    </w:p>
    <w:bookmarkStart w:id="12" w:name="12"/>
    <w:bookmarkEnd w:id="1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1" w:firstLine="1418"/>
        <w:jc w:val="left"/>
        <w:rPr/>
      </w:pPr>
      <w:r>
        <w:rPr>
          <w:rFonts w:ascii="宋体" w:hAnsi="宋体" w:cs="宋体"/>
          <w:u w:val="none"/>
          <w:sz w:val="28"/>
          <w:position w:val="0"/>
          <w:color w:val="000000"/>
          <w:noProof w:val="true"/>
          <w:spacing w:val="-2"/>
          <w:w w:val="100"/>
        </w:rPr>
        <w:t>范围的最终确定主要依据有关临床前和临床研究的结果。而对于缓释、控</w:t>
      </w:r>
    </w:p>
    <w:p w:rsidR="005A76FB" w:rsidRDefault="005A76FB" w:rsidP="005A76FB">
      <w:pPr>
        <w:spacing w:before="0" w:after="0" w:lineRule="exact" w:line="240"/>
        <w:ind w:left="-1351" w:firstLine="1418"/>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5"/>
          <w:w w:val="100"/>
        </w:rPr>
        <w:t>释制剂，经皮给药制剂等，药代动力学研究结</w:t>
      </w:r>
      <w:r>
        <w:rPr>
          <w:rFonts w:ascii="宋体" w:hAnsi="宋体" w:cs="宋体"/>
          <w:u w:val="none"/>
          <w:sz w:val="28"/>
          <w:position w:val="0"/>
          <w:color w:val="000000"/>
          <w:noProof w:val="true"/>
          <w:spacing w:val="-5"/>
          <w:w w:val="100"/>
        </w:rPr>
        <w:t>果是处方研究的重要依据。</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1900" w:left="-1351"/>
        <w:jc w:val="left"/>
        <w:rPr/>
      </w:pPr>
      <w:r>
        <w:rPr>
          <w:rFonts w:ascii="宋体" w:eastAsia="宋体" w:hAnsi="宋体" w:cs="宋体"/>
          <w:u w:val="none"/>
          <w:sz w:val="32"/>
          <w:position w:val="0"/>
          <w:color w:val="000000"/>
          <w:noProof w:val="true"/>
          <w:spacing w:val="-6"/>
          <w:w w:val="100"/>
        </w:rPr>
        <w:t>（五）处方的调整与确定</w:t>
      </w:r>
    </w:p>
    <w:p w:rsidR="005A76FB" w:rsidRDefault="005A76FB" w:rsidP="005A76FB">
      <w:pPr>
        <w:spacing w:before="0" w:after="0" w:lineRule="exact" w:line="234"/>
        <w:ind w:firstLine="1900" w:left="-1351"/>
        <w:rPr/>
      </w:pPr>
    </w:p>
    <w:p w:rsidR="005A76FB" w:rsidRDefault="005A76FB" w:rsidP="005A76FB">
      <w:pPr>
        <w:spacing w:before="0" w:after="0" w:line="364" w:lineRule="exact"/>
        <w:ind w:firstLine="1979" w:left="-1351"/>
        <w:jc w:val="left"/>
        <w:rPr/>
      </w:pPr>
      <w:r>
        <w:rPr>
          <w:rFonts w:ascii="宋体" w:hAnsi="宋体" w:cs="宋体"/>
          <w:u w:val="none"/>
          <w:sz w:val="28"/>
          <w:position w:val="0"/>
          <w:color w:val="000000"/>
          <w:noProof w:val="true"/>
          <w:spacing w:val="-1"/>
          <w:w w:val="100"/>
        </w:rPr>
        <w:t>一般通过制剂基本性能评价、稳定性评价和临床前评价，基本可以确</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定制剂的处方。</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979" w:left="-1351"/>
        <w:jc w:val="left"/>
        <w:rPr/>
      </w:pPr>
      <w:r>
        <w:rPr>
          <w:rFonts w:ascii="宋体" w:eastAsia="宋体" w:hAnsi="宋体" w:cs="宋体"/>
          <w:u w:val="none"/>
          <w:sz w:val="28"/>
          <w:position w:val="0"/>
          <w:color w:val="000000"/>
          <w:noProof w:val="true"/>
          <w:spacing w:val="-1"/>
          <w:w w:val="100"/>
        </w:rPr>
        <w:t>在完成有关临床研究和主要稳定性试验后，必要时可根据研究结果对</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制剂处方进行调整。药品申请人需要详细说明处方调整的情况，并通过实</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验证明这种变化的合理性，其基本研究思路和方法可参考上述处方研究内</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容进行，如体外比较性研究（如溶出曲线比较）和稳定性考察等，必要时</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还需考虑进行有关临床研究，如生物等效性试验。</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59" w:left="-1351"/>
        <w:jc w:val="left"/>
        <w:rPr/>
      </w:pPr>
      <w:r>
        <w:rPr>
          <w:rFonts w:ascii="宋体" w:hAnsi="宋体" w:cs="宋体"/>
          <w:u w:val="none"/>
          <w:sz w:val="32"/>
          <w:position w:val="0"/>
          <w:color w:val="000000"/>
          <w:noProof w:val="true"/>
          <w:spacing w:val="-5"/>
          <w:w w:val="100"/>
        </w:rPr>
        <w:t>五、制剂工艺研究</w:t>
      </w:r>
    </w:p>
    <w:p w:rsidR="005A76FB" w:rsidRDefault="005A76FB" w:rsidP="005A76FB">
      <w:pPr>
        <w:spacing w:before="0" w:after="0" w:lineRule="exact" w:line="234"/>
        <w:ind w:firstLine="2059"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1"/>
          <w:w w:val="100"/>
        </w:rPr>
        <w:t>制剂工艺研究是制剂研究的一项重要内容，对保证药品质量稳定有重</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要作用，是药品工业化生产的重要基础。制剂工艺研究可以单独进行，也</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可结合处方研究进行。</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979" w:left="-1351"/>
        <w:jc w:val="left"/>
        <w:rPr/>
      </w:pPr>
      <w:r>
        <w:rPr>
          <w:rFonts w:ascii="宋体" w:hAnsi="宋体" w:cs="宋体"/>
          <w:u w:val="none"/>
          <w:sz w:val="28"/>
          <w:position w:val="0"/>
          <w:color w:val="000000"/>
          <w:noProof w:val="true"/>
          <w:spacing w:val="-1"/>
          <w:w w:val="100"/>
        </w:rPr>
        <w:t>制备工艺研究包括工艺设计、工艺研究和工艺放大三部分。尽管工艺</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研究过程不属于GMP的检查范畴，但在过程控制、数据积累等方面应参考</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GMP的基本要求，注意数据的记录和积累，为药品工业化生产和质量控制</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打下坚实的基础。</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1898" w:left="-1351"/>
        <w:jc w:val="left"/>
        <w:rPr/>
      </w:pPr>
      <w:r>
        <w:rPr>
          <w:rFonts w:ascii="宋体" w:eastAsia="宋体" w:hAnsi="宋体" w:cs="宋体"/>
          <w:u w:val="none"/>
          <w:sz w:val="32"/>
          <w:position w:val="0"/>
          <w:color w:val="000000"/>
          <w:noProof w:val="true"/>
          <w:spacing w:val="-6"/>
          <w:w w:val="100"/>
        </w:rPr>
        <w:t>（一）工艺设计</w:t>
      </w:r>
    </w:p>
    <w:p w:rsidR="005A76FB" w:rsidRDefault="005A76FB" w:rsidP="005A76FB">
      <w:pPr>
        <w:spacing w:before="0" w:after="0" w:lineRule="exact" w:line="234"/>
        <w:ind w:firstLine="1898"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1"/>
          <w:w w:val="100"/>
        </w:rPr>
        <w:t>可根据剂型的特点，结合已掌握的药物理化性质和生物学性质，设计</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几种基本合理的制剂工艺。如实验或文献资料明确显示药物存在多晶型现</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7"/>
          <w:w w:val="100"/>
        </w:rPr>
        <w:t>象，且晶型对其稳定性和/或生物利用度有较大影响的，可通过</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11"/>
          <w:w w:val="100"/>
        </w:rPr>
        <w:t>IR、粉末</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4"/>
          <w:w w:val="100"/>
        </w:rPr>
        <w:t>X</w:t>
      </w: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ectPr w:rsidR="005A76FB" w:rsidSect="005A76FB">
          <w:type w:val="continuous"/>
          <w:pgSz w:w="11900" w:h="16840"/>
          <w:pgMar w:top="795" w:right="992" w:bottom="555" w:left="1352" w:header="0" w:footer="0" w:gutter="0"/>
        </w:sectPr>
        <w:spacing w:before="0" w:after="0" w:line="238" w:lineRule="exact"/>
        <w:ind w:firstLine="5848" w:left="-1351"/>
        <w:jc w:val="left"/>
        <w:rPr/>
      </w:pPr>
      <w:r>
        <w:rPr>
          <w:rFonts w:ascii="Times New Roman" w:hAnsi="Times New Roman" w:cs="Times New Roman"/>
          <w:u w:val="none"/>
          <w:sz w:val="21"/>
          <w:position w:val="0"/>
          <w:color w:val="000000"/>
          <w:noProof w:val="true"/>
          <w:spacing w:val="-3"/>
          <w:w w:val="100"/>
        </w:rPr>
        <w:t>10</w:t>
      </w:r>
    </w:p>
    <w:bookmarkStart w:id="13" w:name="13"/>
    <w:bookmarkEnd w:id="1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3" w:firstLine="1418"/>
        <w:jc w:val="left"/>
        <w:rPr/>
      </w:pPr>
      <w:r>
        <w:rPr>
          <w:rFonts w:ascii="宋体" w:hAnsi="宋体" w:cs="宋体"/>
          <w:u w:val="none"/>
          <w:sz w:val="28"/>
          <w:position w:val="0"/>
          <w:color w:val="000000"/>
          <w:noProof w:val="true"/>
          <w:spacing w:val="7"/>
          <w:w w:val="100"/>
        </w:rPr>
        <w:t>－射线衍射、DSC</w:t>
      </w:r>
      <w:r>
        <w:rPr>
          <w:rFonts w:ascii="Calibri" w:hAnsi="Calibri" w:cs="Calibri"/>
          <w:u w:val="none"/>
          <w:sz w:val="28"/>
          <w:color w:val="000000"/>
          <w:noProof w:val="true"/>
          <w:spacing w:val="0"/>
          <w:w w:val="217"/>
        </w:rPr>
        <w:t> </w:t>
      </w:r>
      <w:r>
        <w:rPr>
          <w:rFonts w:ascii="宋体" w:hAnsi="宋体" w:cs="宋体"/>
          <w:u w:val="none"/>
          <w:sz w:val="28"/>
          <w:position w:val="0"/>
          <w:color w:val="000000"/>
          <w:noProof w:val="true"/>
          <w:spacing w:val="-5"/>
          <w:w w:val="100"/>
        </w:rPr>
        <w:t>等方法研究粉碎、制粒等过程对药物晶型的影响，避免</w:t>
      </w:r>
    </w:p>
    <w:p w:rsidR="005A76FB" w:rsidRDefault="005A76FB" w:rsidP="005A76FB">
      <w:pPr>
        <w:spacing w:before="0" w:after="0" w:lineRule="exact" w:line="240"/>
        <w:ind w:left="-1213" w:firstLine="1418"/>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药物晶型在工艺过程中发生变化。例如对湿不稳定的原料药，在注意对生</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产环境湿度控制的同时，制备工艺宜尽量避免水分的影响，可采用干法制</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粒、粉末直接压片工艺等。</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hAnsi="宋体" w:cs="宋体"/>
          <w:u w:val="none"/>
          <w:sz w:val="28"/>
          <w:position w:val="0"/>
          <w:color w:val="000000"/>
          <w:noProof w:val="true"/>
          <w:spacing w:val="-6"/>
          <w:w w:val="100"/>
        </w:rPr>
        <w:t>工艺设计还需充分考虑与工业化生产的可衔接性，主要是工艺、操作、</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6"/>
          <w:w w:val="100"/>
        </w:rPr>
        <w:t>设备在工业化生产中的可行性，尽量选择与生产设备原理一致的实验设备，</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避免制剂研发与生产过程脱节。</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1900" w:left="-1213"/>
        <w:jc w:val="left"/>
        <w:rPr/>
      </w:pPr>
      <w:r>
        <w:rPr>
          <w:rFonts w:ascii="MS Gothic" w:eastAsia="MS Gothic" w:hAnsi="MS Gothic" w:cs="MS Gothic"/>
          <w:u w:val="none"/>
          <w:sz w:val="32"/>
          <w:position w:val="0"/>
          <w:color w:val="000000"/>
          <w:noProof w:val="true"/>
          <w:spacing w:val="-6"/>
          <w:w w:val="100"/>
        </w:rPr>
        <w:t>（二）工艺研究</w:t>
      </w:r>
    </w:p>
    <w:p w:rsidR="005A76FB" w:rsidRDefault="005A76FB" w:rsidP="005A76FB">
      <w:pPr>
        <w:spacing w:before="0" w:after="0" w:lineRule="exact" w:line="234"/>
        <w:ind w:firstLine="1900"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1"/>
          <w:w w:val="100"/>
        </w:rPr>
        <w:t>工艺研究的目的是保证生产过程中药品的质量及其重现性。制剂工艺</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通常由多个关键步骤组成，涉及多种生产设备，均可能对制剂生产造成影</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响。工艺研究的重点是确定影响制剂生产的关键环节和因素，并建立生产</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过程的控制指标和工艺参数。</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6"/>
          <w:w w:val="100"/>
        </w:rPr>
        <w:t>1、工艺研究和过程控制</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1"/>
          <w:w w:val="100"/>
        </w:rPr>
        <w:t>首先考察工艺过程各主要环节对产品质量的影响，可根据剂型及药物</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特点选择有代表性的检查项目作为考察指标，根据工艺过程各环节的考察</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结果，分析工艺过程中影响制剂质量的关键环节。如对普通片剂，原料药</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和辅料粉碎、混合，湿颗粒的干燥以及压片过程均可能对片剂质量产生较</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大影响。对于采用新方法、新技术、新设备的制剂，应对其制剂工艺进行</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更详细的研究。</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hAnsi="宋体" w:cs="宋体"/>
          <w:u w:val="none"/>
          <w:sz w:val="28"/>
          <w:position w:val="0"/>
          <w:color w:val="000000"/>
          <w:noProof w:val="true"/>
          <w:spacing w:val="-1"/>
          <w:w w:val="100"/>
        </w:rPr>
        <w:t>在初步研究的基础上，应通过研究建立关键工艺环节的控制指标。可</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根据剂型与制剂工艺的特点，选择有代表性的检查项目作为考察指标，研</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究工艺条件、操作参数、设备型号等变化对制剂质量的影响。根据研究结</w:t>
      </w:r>
    </w:p>
    <w:p w:rsidR="005A76FB" w:rsidRDefault="005A76FB" w:rsidP="005A76FB">
      <w:pPr>
        <w:spacing w:before="0" w:after="0" w:lineRule="exact" w:line="240"/>
        <w:ind w:firstLine="1418" w:left="-1213"/>
        <w:rPr/>
      </w:pPr>
    </w:p>
    <w:p w:rsidR="005A76FB" w:rsidRDefault="005A76FB" w:rsidP="005A76FB">
      <w:pPr>
        <w:spacing w:before="0" w:after="0" w:lineRule="exact" w:line="240"/>
        <w:ind w:firstLine="1418" w:left="-1213"/>
        <w:rPr/>
      </w:pPr>
    </w:p>
    <w:p w:rsidR="005A76FB" w:rsidRDefault="005A76FB" w:rsidP="005A76FB">
      <w:pPr>
        <w:spacing w:before="0" w:after="0" w:lineRule="exact" w:line="240"/>
        <w:ind w:firstLine="1418" w:left="-1213"/>
        <w:rPr/>
      </w:pPr>
    </w:p>
    <w:p w:rsidR="005A76FB" w:rsidRDefault="005A76FB" w:rsidP="005A76FB">
      <w:pPr>
        <w:sectPr w:rsidR="005A76FB" w:rsidSect="005A76FB">
          <w:type w:val="continuous"/>
          <w:pgSz w:w="11900" w:h="16841"/>
          <w:pgMar w:top="795" w:right="854" w:bottom="555" w:left="1214" w:header="0" w:footer="0" w:gutter="0"/>
        </w:sectPr>
        <w:spacing w:before="0" w:after="0" w:line="238" w:lineRule="exact"/>
        <w:ind w:firstLine="5851" w:left="-1213"/>
        <w:jc w:val="left"/>
        <w:rPr/>
      </w:pPr>
      <w:r>
        <w:rPr>
          <w:rFonts w:ascii="Times New Roman" w:hAnsi="Times New Roman" w:cs="Times New Roman"/>
          <w:u w:val="none"/>
          <w:sz w:val="21"/>
          <w:position w:val="0"/>
          <w:color w:val="000000"/>
          <w:noProof w:val="true"/>
          <w:spacing w:val="-7"/>
          <w:w w:val="100"/>
        </w:rPr>
        <w:t>11</w:t>
      </w:r>
    </w:p>
    <w:bookmarkStart w:id="14" w:name="14"/>
    <w:bookmarkEnd w:id="1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2" w:firstLine="1418"/>
        <w:jc w:val="left"/>
        <w:rPr/>
      </w:pPr>
      <w:r>
        <w:rPr>
          <w:rFonts w:ascii="宋体" w:eastAsia="宋体" w:hAnsi="宋体" w:cs="宋体"/>
          <w:u w:val="none"/>
          <w:sz w:val="28"/>
          <w:position w:val="0"/>
          <w:color w:val="000000"/>
          <w:noProof w:val="true"/>
          <w:spacing w:val="-2"/>
          <w:w w:val="100"/>
        </w:rPr>
        <w:t>果，对工艺过程中关键环节建立控制指标，这是保证制剂生产和药品质量</w:t>
      </w:r>
    </w:p>
    <w:p w:rsidR="005A76FB" w:rsidRDefault="005A76FB" w:rsidP="005A76FB">
      <w:pPr>
        <w:spacing w:before="0" w:after="0" w:lineRule="exact" w:line="240"/>
        <w:ind w:left="-1212" w:firstLine="1418"/>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稳定的重要方法，也是工艺放大及向工业化生产过渡的重要参考。指标的</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制订宜根据剂型及工艺的特点进行。指标的允许波动范围应由研究结果确</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定，并随着对制备工艺研究的深入和完善不断修订，最终根据工艺放大和</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5"/>
          <w:w w:val="100"/>
        </w:rPr>
        <w:t>工业化生产有关数据确定合理范围。</w:t>
      </w:r>
    </w:p>
    <w:p w:rsidR="005A76FB" w:rsidRDefault="005A76FB" w:rsidP="005A76FB">
      <w:pPr>
        <w:spacing w:before="0" w:after="0" w:lineRule="exact" w:line="233"/>
        <w:ind w:firstLine="1418" w:left="-1212"/>
        <w:rPr/>
      </w:pPr>
    </w:p>
    <w:p w:rsidR="005A76FB" w:rsidRDefault="005A76FB" w:rsidP="005A76FB">
      <w:pPr>
        <w:spacing w:before="0" w:after="0" w:line="417" w:lineRule="exact"/>
        <w:ind w:firstLine="2059" w:left="-1212"/>
        <w:jc w:val="left"/>
        <w:rPr/>
      </w:pPr>
      <w:r>
        <w:rPr>
          <w:rFonts w:ascii="宋体" w:hAnsi="宋体" w:cs="宋体"/>
          <w:u w:val="none"/>
          <w:sz w:val="32"/>
          <w:position w:val="0"/>
          <w:color w:val="000000"/>
          <w:noProof w:val="true"/>
          <w:spacing w:val="-6"/>
          <w:w w:val="100"/>
        </w:rPr>
        <w:t>2、工艺重现性研究</w:t>
      </w:r>
    </w:p>
    <w:p w:rsidR="005A76FB" w:rsidRDefault="005A76FB" w:rsidP="005A76FB">
      <w:pPr>
        <w:spacing w:before="0" w:after="0" w:lineRule="exact" w:line="234"/>
        <w:ind w:firstLine="2059" w:left="-1212"/>
        <w:rPr/>
      </w:pPr>
    </w:p>
    <w:p w:rsidR="005A76FB" w:rsidRDefault="005A76FB" w:rsidP="005A76FB">
      <w:pPr>
        <w:spacing w:before="0" w:after="0" w:line="364" w:lineRule="exact"/>
        <w:ind w:firstLine="1979" w:left="-1212"/>
        <w:jc w:val="left"/>
        <w:rPr/>
      </w:pPr>
      <w:r>
        <w:rPr>
          <w:rFonts w:ascii="宋体" w:eastAsia="宋体" w:hAnsi="宋体" w:cs="宋体"/>
          <w:u w:val="none"/>
          <w:sz w:val="28"/>
          <w:position w:val="0"/>
          <w:color w:val="000000"/>
          <w:noProof w:val="true"/>
          <w:spacing w:val="-1"/>
          <w:w w:val="100"/>
        </w:rPr>
        <w:t>工艺重现性研究的主要目的是保证制剂质量的一致性，一般至少需要</w:t>
      </w:r>
    </w:p>
    <w:p w:rsidR="005A76FB" w:rsidRDefault="005A76FB" w:rsidP="005A76FB">
      <w:pPr>
        <w:spacing w:before="0" w:after="0" w:lineRule="exact" w:line="240"/>
        <w:ind w:firstLine="1979"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对连续三批样品的制备过程进行考察，详细记录制备过程的工艺条件、操</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5"/>
          <w:w w:val="100"/>
        </w:rPr>
        <w:t>作参数、生产设备型号等，及各批样品的质量检验结果。</w:t>
      </w:r>
    </w:p>
    <w:p w:rsidR="005A76FB" w:rsidRDefault="005A76FB" w:rsidP="005A76FB">
      <w:pPr>
        <w:spacing w:before="0" w:after="0" w:lineRule="exact" w:line="233"/>
        <w:ind w:firstLine="1418" w:left="-1212"/>
        <w:rPr/>
      </w:pPr>
    </w:p>
    <w:p w:rsidR="005A76FB" w:rsidRDefault="005A76FB" w:rsidP="005A76FB">
      <w:pPr>
        <w:spacing w:before="0" w:after="0" w:line="417" w:lineRule="exact"/>
        <w:ind w:firstLine="2059" w:left="-1212"/>
        <w:jc w:val="left"/>
        <w:rPr/>
      </w:pPr>
      <w:r>
        <w:rPr>
          <w:rFonts w:ascii="宋体" w:hAnsi="宋体" w:cs="宋体"/>
          <w:u w:val="none"/>
          <w:sz w:val="32"/>
          <w:position w:val="0"/>
          <w:color w:val="000000"/>
          <w:noProof w:val="true"/>
          <w:spacing w:val="-6"/>
          <w:w w:val="100"/>
        </w:rPr>
        <w:t>3、研究数据的汇总和积累</w:t>
      </w:r>
    </w:p>
    <w:p w:rsidR="005A76FB" w:rsidRDefault="005A76FB" w:rsidP="005A76FB">
      <w:pPr>
        <w:spacing w:before="0" w:after="0" w:lineRule="exact" w:line="234"/>
        <w:ind w:firstLine="2059" w:left="-1212"/>
        <w:rPr/>
      </w:pPr>
    </w:p>
    <w:p w:rsidR="005A76FB" w:rsidRDefault="005A76FB" w:rsidP="005A76FB">
      <w:pPr>
        <w:spacing w:before="0" w:after="0" w:line="364" w:lineRule="exact"/>
        <w:ind w:firstLine="1979" w:left="-1212"/>
        <w:jc w:val="left"/>
        <w:rPr/>
      </w:pPr>
      <w:r>
        <w:rPr>
          <w:rFonts w:ascii="宋体" w:hAnsi="宋体" w:cs="宋体"/>
          <w:u w:val="none"/>
          <w:sz w:val="28"/>
          <w:position w:val="0"/>
          <w:color w:val="000000"/>
          <w:noProof w:val="true"/>
          <w:spacing w:val="-1"/>
          <w:w w:val="100"/>
        </w:rPr>
        <w:t>制剂工艺研究过程提供了丰富的实验数据和信息。通过对这些数据的</w:t>
      </w:r>
    </w:p>
    <w:p w:rsidR="005A76FB" w:rsidRDefault="005A76FB" w:rsidP="005A76FB">
      <w:pPr>
        <w:spacing w:before="0" w:after="0" w:lineRule="exact" w:line="240"/>
        <w:ind w:firstLine="1979"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分析，对确定制剂工艺的关键环节，建立相应的控制指标，保证制剂生产</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和药品质量的重现性有重要意义。这些数据可为制剂工艺放大和工业化生</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5"/>
          <w:w w:val="100"/>
        </w:rPr>
        <w:t>产提供依据。</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979" w:left="-1212"/>
        <w:jc w:val="left"/>
        <w:rPr/>
      </w:pPr>
      <w:r>
        <w:rPr>
          <w:rFonts w:ascii="宋体" w:eastAsia="宋体" w:hAnsi="宋体" w:cs="宋体"/>
          <w:u w:val="none"/>
          <w:sz w:val="28"/>
          <w:position w:val="0"/>
          <w:color w:val="000000"/>
          <w:noProof w:val="true"/>
          <w:spacing w:val="-6"/>
          <w:w w:val="100"/>
        </w:rPr>
        <w:t>工艺研究数据主要包括以下方面：1）使用的原料药及辅料情况（如货</w:t>
      </w:r>
    </w:p>
    <w:p w:rsidR="005A76FB" w:rsidRDefault="005A76FB" w:rsidP="005A76FB">
      <w:pPr>
        <w:spacing w:before="0" w:after="0" w:lineRule="exact" w:line="240"/>
        <w:ind w:firstLine="1979"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源、规格、质量标准等），2）工艺操作步骤及参数，3）关键工艺环节的</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10"/>
          <w:w w:val="100"/>
        </w:rPr>
        <w:t>控制指标及范围，4）设备的种类和型号，5）制备规模，6）样品检验报告。</w:t>
      </w:r>
    </w:p>
    <w:p w:rsidR="005A76FB" w:rsidRDefault="005A76FB" w:rsidP="005A76FB">
      <w:pPr>
        <w:spacing w:before="0" w:after="0" w:lineRule="exact" w:line="233"/>
        <w:ind w:firstLine="1418" w:left="-1212"/>
        <w:rPr/>
      </w:pPr>
    </w:p>
    <w:p w:rsidR="005A76FB" w:rsidRDefault="005A76FB" w:rsidP="005A76FB">
      <w:pPr>
        <w:spacing w:before="0" w:after="0" w:line="417" w:lineRule="exact"/>
        <w:ind w:firstLine="1900" w:left="-1212"/>
        <w:jc w:val="left"/>
        <w:rPr/>
      </w:pPr>
      <w:r>
        <w:rPr>
          <w:rFonts w:ascii="MS Gothic" w:eastAsia="MS Gothic" w:hAnsi="MS Gothic" w:cs="MS Gothic"/>
          <w:u w:val="none"/>
          <w:sz w:val="32"/>
          <w:position w:val="0"/>
          <w:color w:val="000000"/>
          <w:noProof w:val="true"/>
          <w:spacing w:val="-6"/>
          <w:w w:val="100"/>
        </w:rPr>
        <w:t>（三）工艺放大</w:t>
      </w:r>
    </w:p>
    <w:p w:rsidR="005A76FB" w:rsidRDefault="005A76FB" w:rsidP="005A76FB">
      <w:pPr>
        <w:spacing w:before="0" w:after="0" w:lineRule="exact" w:line="234"/>
        <w:ind w:firstLine="1900" w:left="-1212"/>
        <w:rPr/>
      </w:pPr>
    </w:p>
    <w:p w:rsidR="005A76FB" w:rsidRDefault="005A76FB" w:rsidP="005A76FB">
      <w:pPr>
        <w:spacing w:before="0" w:after="0" w:line="364" w:lineRule="exact"/>
        <w:ind w:firstLine="1979" w:left="-1212"/>
        <w:jc w:val="left"/>
        <w:rPr/>
      </w:pPr>
      <w:r>
        <w:rPr>
          <w:rFonts w:ascii="宋体" w:eastAsia="宋体" w:hAnsi="宋体" w:cs="宋体"/>
          <w:u w:val="none"/>
          <w:sz w:val="28"/>
          <w:position w:val="0"/>
          <w:color w:val="000000"/>
          <w:noProof w:val="true"/>
          <w:spacing w:val="-1"/>
          <w:w w:val="100"/>
        </w:rPr>
        <w:t>工艺放大是工艺研究的重要内容，是实验室制备技术向工业化生产转</w:t>
      </w:r>
    </w:p>
    <w:p w:rsidR="005A76FB" w:rsidRDefault="005A76FB" w:rsidP="005A76FB">
      <w:pPr>
        <w:spacing w:before="0" w:after="0" w:lineRule="exact" w:line="240"/>
        <w:ind w:firstLine="1979"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移的必要阶段，是药品工业化生产的重要基础，同时也是制剂工艺进一步</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6"/>
          <w:w w:val="100"/>
        </w:rPr>
        <w:t>完善和优化过程。由于实验室制剂设备、操作条件等与工业化生产的差别，</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实验室建立的制剂工艺在工业化生产中常常会遇到问题。如胶囊剂工业化</w:t>
      </w:r>
    </w:p>
    <w:p w:rsidR="005A76FB" w:rsidRDefault="005A76FB" w:rsidP="005A76FB">
      <w:pPr>
        <w:spacing w:before="0" w:after="0" w:lineRule="exact" w:line="240"/>
        <w:ind w:firstLine="1418" w:left="-1212"/>
        <w:rPr/>
      </w:pPr>
    </w:p>
    <w:p w:rsidR="005A76FB" w:rsidRDefault="005A76FB" w:rsidP="005A76FB">
      <w:pPr>
        <w:spacing w:before="0" w:after="0" w:lineRule="exact" w:line="240"/>
        <w:ind w:firstLine="1418" w:left="-1212"/>
        <w:rPr/>
      </w:pPr>
    </w:p>
    <w:p w:rsidR="005A76FB" w:rsidRDefault="005A76FB" w:rsidP="005A76FB">
      <w:pPr>
        <w:spacing w:before="0" w:after="0" w:lineRule="exact" w:line="240"/>
        <w:ind w:firstLine="1418" w:left="-1212"/>
        <w:rPr/>
      </w:pPr>
    </w:p>
    <w:p w:rsidR="005A76FB" w:rsidRDefault="005A76FB" w:rsidP="005A76FB">
      <w:pPr>
        <w:sectPr w:rsidR="005A76FB" w:rsidSect="005A76FB">
          <w:type w:val="continuous"/>
          <w:pgSz w:w="11900" w:h="16840"/>
          <w:pgMar w:top="795" w:right="853" w:bottom="555" w:left="1213" w:header="0" w:footer="0" w:gutter="0"/>
        </w:sectPr>
        <w:spacing w:before="0" w:after="0" w:line="238" w:lineRule="exact"/>
        <w:ind w:firstLine="5848" w:left="-1212"/>
        <w:jc w:val="left"/>
        <w:rPr/>
      </w:pPr>
      <w:r>
        <w:rPr>
          <w:rFonts w:ascii="Times New Roman" w:hAnsi="Times New Roman" w:cs="Times New Roman"/>
          <w:u w:val="none"/>
          <w:sz w:val="21"/>
          <w:position w:val="0"/>
          <w:color w:val="000000"/>
          <w:noProof w:val="true"/>
          <w:spacing w:val="-3"/>
          <w:w w:val="100"/>
        </w:rPr>
        <w:t>12</w:t>
      </w:r>
    </w:p>
    <w:bookmarkStart w:id="15" w:name="15"/>
    <w:bookmarkEnd w:id="1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3" w:firstLine="1418"/>
        <w:jc w:val="left"/>
        <w:rPr/>
      </w:pPr>
      <w:r>
        <w:rPr>
          <w:rFonts w:ascii="宋体" w:eastAsia="宋体" w:hAnsi="宋体" w:cs="宋体"/>
          <w:u w:val="none"/>
          <w:sz w:val="28"/>
          <w:position w:val="0"/>
          <w:color w:val="000000"/>
          <w:noProof w:val="true"/>
          <w:spacing w:val="-2"/>
          <w:w w:val="100"/>
        </w:rPr>
        <w:t>生产采用的高速填装设备与实验室设备不一致，实验室确定的处方颗粒的</w:t>
      </w:r>
    </w:p>
    <w:p w:rsidR="005A76FB" w:rsidRDefault="005A76FB" w:rsidP="005A76FB">
      <w:pPr>
        <w:spacing w:before="0" w:after="0" w:lineRule="exact" w:line="240"/>
        <w:ind w:left="-1213" w:firstLine="1418"/>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流动性可能并不完全适和生产的需要，可能导致重量差异变大；对于缓释、</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控释等新剂型，工艺放大研究更为重要。</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eastAsia="宋体" w:hAnsi="宋体" w:cs="宋体"/>
          <w:u w:val="none"/>
          <w:sz w:val="28"/>
          <w:position w:val="0"/>
          <w:color w:val="000000"/>
          <w:noProof w:val="true"/>
          <w:spacing w:val="-1"/>
          <w:w w:val="100"/>
        </w:rPr>
        <w:t>研究重点主要有两方面，一是考察生产过程的主要环节，进一步优化</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工艺条件；二是确定适合工业化生产的设备和生产方法，保证工艺放大后</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产品的质量和重现性。研究中需要注意对数据的详实记录和积累，发现前</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期研究建立的制备工艺与生产工艺之间的差别，包括生产设备方面（设计</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原理及操作原理）存在的差别。如这些差别可能影响制剂的性能，则需要</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考虑进行进一步研究或改进。</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5"/>
          <w:w w:val="100"/>
        </w:rPr>
        <w:t>六、药品包装材料（容器）的选择</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1"/>
          <w:w w:val="100"/>
        </w:rPr>
        <w:t>药品的包装材料和容器是药品的组成部分，分为直接接触药品的包装</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材料（以下简称内包装）和外包装材料。包装主要起物流、传递信息和物</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理防护的作用。内包装不仅是药物的承载体，同时直接影响药品质量的稳</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定。包装材料的选择应考虑以下方面：1）包装材料需有助于保证制剂质量</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在一定时间内保持稳定。对于光照或高湿条件下不稳定的制剂，可以考虑</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10"/>
          <w:w w:val="100"/>
        </w:rPr>
        <w:t>选择避光或防潮性能好的包装材料。2）包装材料和制剂应有良好的相容性，</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不与制剂发生不良相互作用。液体或半固体制剂可能出现药物吸附于内包</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装表面，或内包装的某些组分释放到制剂中，引起制剂含量下降或产生安</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全性方面的问题，必要时对制剂包装材料需要进行仔细的选择。由于塑料</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类包装材料中的增塑剂等在血浆、乳剂中更容易释放，需要提供详细的研</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究资料。3）包装材料应与制剂工艺相适应。例如，静脉注射液等无菌制剂</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10"/>
          <w:w w:val="100"/>
        </w:rPr>
        <w:t>的内包装需满足湿热灭菌或辐射灭菌等工艺的的要求。4）对定量给药装置，</w:t>
      </w:r>
    </w:p>
    <w:p w:rsidR="005A76FB" w:rsidRDefault="005A76FB" w:rsidP="005A76FB">
      <w:pPr>
        <w:spacing w:before="0" w:after="0" w:lineRule="exact" w:line="240"/>
        <w:ind w:firstLine="1418" w:left="-1213"/>
        <w:rPr/>
      </w:pPr>
    </w:p>
    <w:p w:rsidR="005A76FB" w:rsidRDefault="005A76FB" w:rsidP="005A76FB">
      <w:pPr>
        <w:spacing w:before="0" w:after="0" w:lineRule="exact" w:line="240"/>
        <w:ind w:firstLine="1418" w:left="-1213"/>
        <w:rPr/>
      </w:pPr>
    </w:p>
    <w:p w:rsidR="005A76FB" w:rsidRDefault="005A76FB" w:rsidP="005A76FB">
      <w:pPr>
        <w:spacing w:before="0" w:after="0" w:lineRule="exact" w:line="240"/>
        <w:ind w:firstLine="1418" w:left="-1213"/>
        <w:rPr/>
      </w:pPr>
    </w:p>
    <w:p w:rsidR="005A76FB" w:rsidRDefault="005A76FB" w:rsidP="005A76FB">
      <w:pPr>
        <w:sectPr w:rsidR="005A76FB" w:rsidSect="005A76FB">
          <w:type w:val="continuous"/>
          <w:pgSz w:w="11900" w:h="16841"/>
          <w:pgMar w:top="795" w:right="854" w:bottom="555" w:left="1214" w:header="0" w:footer="0" w:gutter="0"/>
        </w:sectPr>
        <w:spacing w:before="0" w:after="0" w:line="238" w:lineRule="exact"/>
        <w:ind w:firstLine="5848" w:left="-1213"/>
        <w:jc w:val="left"/>
        <w:rPr/>
      </w:pPr>
      <w:r>
        <w:rPr>
          <w:rFonts w:ascii="Times New Roman" w:hAnsi="Times New Roman" w:cs="Times New Roman"/>
          <w:u w:val="none"/>
          <w:sz w:val="21"/>
          <w:position w:val="0"/>
          <w:color w:val="000000"/>
          <w:noProof w:val="true"/>
          <w:spacing w:val="-3"/>
          <w:w w:val="100"/>
        </w:rPr>
        <w:t>13</w:t>
      </w:r>
    </w:p>
    <w:bookmarkStart w:id="16" w:name="16"/>
    <w:bookmarkEnd w:id="1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0"/>
          <w:pgMar w:top="795" w:right="992" w:bottom="555" w:left="1352" w:header="0" w:footer="0" w:gutter="0"/>
          <w:docGrid w:type="lines" w:linePitch="312"/>
        </w:sectPr>
      </w:pPr>
    </w:p>
    <w:p w:rsidR="005A76FB" w:rsidRDefault="005A76FB" w:rsidP="005A76FB">
      <w:pPr>
        <w:spacing w:before="0" w:after="0" w:line="364" w:lineRule="exact"/>
        <w:ind w:left="67" w:firstLine="0"/>
        <w:jc w:val="left"/>
        <w:rPr/>
      </w:pPr>
      <w:r>
        <w:rPr>
          <w:rFonts w:ascii="宋体" w:hAnsi="宋体" w:cs="宋体"/>
          <w:u w:val="none"/>
          <w:sz w:val="28"/>
          <w:position w:val="0"/>
          <w:color w:val="000000"/>
          <w:noProof w:val="true"/>
          <w:spacing w:val="-5"/>
          <w:w w:val="100"/>
        </w:rPr>
        <w:t>应能保证定量给药的准确性和重现性。</w:t>
      </w:r>
    </w:p>
    <w:p w:rsidR="005A76FB" w:rsidRDefault="005A76FB" w:rsidP="005A76FB">
      <w:pPr>
        <w:spacing w:before="0" w:after="0" w:lineRule="exact" w:line="240"/>
        <w:ind w:left="67" w:firstLine="0"/>
        <w:rPr/>
      </w:pPr>
    </w:p>
    <w:p w:rsidR="005A76FB" w:rsidRDefault="005A76FB" w:rsidP="005A76FB">
      <w:pPr>
        <w:spacing w:before="0" w:after="0" w:line="384" w:lineRule="exact"/>
        <w:ind w:firstLine="560" w:left="67"/>
        <w:jc w:val="left"/>
        <w:rPr/>
      </w:pPr>
      <w:r>
        <w:rPr>
          <w:rFonts w:ascii="宋体" w:eastAsia="宋体" w:hAnsi="宋体" w:cs="宋体"/>
          <w:u w:val="none"/>
          <w:sz w:val="28"/>
          <w:position w:val="0"/>
          <w:color w:val="000000"/>
          <w:noProof w:val="true"/>
          <w:spacing w:val="-1"/>
          <w:w w:val="100"/>
        </w:rPr>
        <w:t>内包装需从符合国家药用包装材料标准，并获得药用包装材料和容器</w:t>
      </w:r>
    </w:p>
    <w:p w:rsidR="005A76FB" w:rsidRDefault="005A76FB" w:rsidP="005A76FB">
      <w:pPr>
        <w:spacing w:before="0" w:after="0" w:lineRule="exact" w:line="240"/>
        <w:ind w:firstLine="56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注册证的材料中选择。在选择内包装时，可以通过对同类药品及其包装材</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eastAsia="宋体" w:hAnsi="宋体" w:cs="宋体"/>
          <w:u w:val="none"/>
          <w:sz w:val="28"/>
          <w:position w:val="0"/>
          <w:color w:val="000000"/>
          <w:noProof w:val="true"/>
          <w:spacing w:val="-2"/>
          <w:w w:val="100"/>
        </w:rPr>
        <w:t>料的文献调研，为包装材料的选择提供参考，并通过加速试验和长期留样</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5"/>
          <w:w w:val="100"/>
        </w:rPr>
        <w:t>试验进行考察。</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560" w:left="67"/>
        <w:jc w:val="left"/>
        <w:rPr/>
      </w:pPr>
      <w:r>
        <w:rPr>
          <w:rFonts w:ascii="宋体" w:eastAsia="宋体" w:hAnsi="宋体" w:cs="宋体"/>
          <w:u w:val="none"/>
          <w:sz w:val="28"/>
          <w:position w:val="0"/>
          <w:color w:val="000000"/>
          <w:noProof w:val="true"/>
          <w:spacing w:val="-1"/>
          <w:w w:val="100"/>
        </w:rPr>
        <w:t>在文献资料不充分，或采用新的包装材料，或特定剂型等情况，需要</w:t>
      </w:r>
    </w:p>
    <w:p w:rsidR="005A76FB" w:rsidRDefault="005A76FB" w:rsidP="005A76FB">
      <w:pPr>
        <w:spacing w:before="0" w:after="0" w:lineRule="exact" w:line="240"/>
        <w:ind w:firstLine="56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进行药品与内包装的相容性考察。除稳定性实验需要考察的项目外，还需</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根据上述包装材料选择考虑的因素增加特定考察项目。例如，对输液及凝</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eastAsia="宋体" w:hAnsi="宋体" w:cs="宋体"/>
          <w:u w:val="none"/>
          <w:sz w:val="28"/>
          <w:position w:val="0"/>
          <w:color w:val="000000"/>
          <w:noProof w:val="true"/>
          <w:spacing w:val="-2"/>
          <w:w w:val="100"/>
        </w:rPr>
        <w:t>胶剂等，需注意考察容器的水蒸汽透过性能；对含乙醇的液体制剂，需要</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注意乙醇对包装材料的影响。包装材料的选择也为药品质量标准中是否需</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增加特殊的检查项目提供依据。例如，滴眼液或静脉输液等包装材料相容</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eastAsia="宋体" w:hAnsi="宋体" w:cs="宋体"/>
          <w:u w:val="none"/>
          <w:sz w:val="28"/>
          <w:position w:val="0"/>
          <w:color w:val="000000"/>
          <w:noProof w:val="true"/>
          <w:spacing w:val="-2"/>
          <w:w w:val="100"/>
        </w:rPr>
        <w:t>性研究结果显示包材中释放物的量低于公认的安全范围，且长期稳定性实</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eastAsia="宋体" w:hAnsi="宋体" w:cs="宋体"/>
          <w:u w:val="none"/>
          <w:sz w:val="28"/>
          <w:position w:val="0"/>
          <w:color w:val="000000"/>
          <w:noProof w:val="true"/>
          <w:spacing w:val="-2"/>
          <w:w w:val="100"/>
        </w:rPr>
        <w:t>验结果也证明这些释放物水平在贮藏过程中基本恒定，可以不进行该项目</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5"/>
          <w:w w:val="100"/>
        </w:rPr>
        <w:t>的检查和控制。</w:t>
      </w:r>
    </w:p>
    <w:p w:rsidR="005A76FB" w:rsidRDefault="005A76FB" w:rsidP="005A76FB">
      <w:pPr>
        <w:spacing w:before="0" w:after="0" w:lineRule="exact" w:line="233"/>
        <w:ind w:firstLine="0" w:left="67"/>
        <w:rPr/>
      </w:pPr>
    </w:p>
    <w:p w:rsidR="005A76FB" w:rsidRDefault="005A76FB" w:rsidP="005A76FB">
      <w:pPr>
        <w:spacing w:before="0" w:after="0" w:line="417" w:lineRule="exact"/>
        <w:ind w:firstLine="641" w:left="67"/>
        <w:jc w:val="left"/>
        <w:rPr/>
      </w:pPr>
      <w:r>
        <w:rPr>
          <w:rFonts w:ascii="宋体" w:hAnsi="宋体" w:cs="宋体"/>
          <w:u w:val="none"/>
          <w:sz w:val="32"/>
          <w:position w:val="0"/>
          <w:color w:val="000000"/>
          <w:noProof w:val="true"/>
          <w:spacing w:val="-5"/>
          <w:w w:val="100"/>
        </w:rPr>
        <w:t>七、质量研究和稳定性研究</w:t>
      </w:r>
    </w:p>
    <w:p w:rsidR="005A76FB" w:rsidRDefault="005A76FB" w:rsidP="005A76FB">
      <w:pPr>
        <w:spacing w:before="0" w:after="0" w:lineRule="exact" w:line="234"/>
        <w:ind w:firstLine="641" w:left="67"/>
        <w:rPr/>
      </w:pPr>
    </w:p>
    <w:p w:rsidR="005A76FB" w:rsidRDefault="005A76FB" w:rsidP="005A76FB">
      <w:pPr>
        <w:spacing w:before="0" w:after="0" w:line="364" w:lineRule="exact"/>
        <w:ind w:firstLine="560" w:left="67"/>
        <w:jc w:val="left"/>
        <w:rPr/>
      </w:pPr>
      <w:r>
        <w:rPr>
          <w:rFonts w:ascii="宋体" w:hAnsi="宋体" w:cs="宋体"/>
          <w:u w:val="none"/>
          <w:sz w:val="28"/>
          <w:position w:val="0"/>
          <w:color w:val="000000"/>
          <w:noProof w:val="true"/>
          <w:spacing w:val="-1"/>
          <w:w w:val="100"/>
        </w:rPr>
        <w:t>制剂研发与质量研究和稳定性研究密切相关。对不同制剂，应根据影</w:t>
      </w:r>
    </w:p>
    <w:p w:rsidR="005A76FB" w:rsidRDefault="005A76FB" w:rsidP="005A76FB">
      <w:pPr>
        <w:spacing w:before="0" w:after="0" w:lineRule="exact" w:line="240"/>
        <w:ind w:firstLine="56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响其质量的关键因素，进行相应的质量研究和稳定性考察。质量研究和稳</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5"/>
          <w:w w:val="100"/>
        </w:rPr>
        <w:t>定性研究的一般原则见相关的技术指导原则。</w:t>
      </w:r>
    </w:p>
    <w:p w:rsidR="005A76FB" w:rsidRDefault="005A76FB" w:rsidP="005A76FB">
      <w:pPr>
        <w:widowControl/>
        <w:jc w:val="left"/>
        <w:rPr/>
        <w:sectPr w:rsidR="005A76FB" w:rsidSect="005A76FB">
          <w:type w:val="continuous"/>
          <w:pgSz w:w="11900" w:h="16840"/>
          <w:pgMar w:top="795" w:right="992" w:bottom="555" w:left="1352" w:header="0" w:footer="0" w:gutter="0"/>
          <w:cols w:num="1" w:equalWidth="0">
            <w:col w:w="9557" w:space="0"/>
          </w:cols>
          <w:docGrid w:type="lines" w:linePitch="312"/>
        </w:sect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342"/>
        <w:ind w:firstLine="0" w:left="67"/>
        <w:rPr/>
      </w:pPr>
    </w:p>
    <w:p w:rsidR="005A76FB" w:rsidRDefault="005A76FB" w:rsidP="005A76FB">
      <w:pPr>
        <w:widowControl/>
        <w:jc w:val="left"/>
        <w:rPr/>
        <w:sectPr w:rsidR="005A76FB" w:rsidSect="005A76FB">
          <w:type w:val="continuous"/>
          <w:pgSz w:w="11900" w:h="16840"/>
          <w:pgMar w:top="795" w:right="992" w:bottom="555" w:left="1352" w:header="0" w:footer="0" w:gutter="0"/>
          <w:docGrid w:type="lines" w:linePitch="312"/>
        </w:sectPr>
      </w:pPr>
    </w:p>
    <w:p w:rsidR="005A76FB" w:rsidRDefault="005A76FB" w:rsidP="005A76FB">
      <w:pPr>
        <w:spacing w:before="0" w:after="0" w:line="232" w:lineRule="exact"/>
        <w:ind w:firstLine="0" w:left="4496"/>
        <w:jc w:val="left"/>
        <w:rPr/>
      </w:pPr>
      <w:r>
        <w:rPr>
          <w:rFonts w:ascii="Times New Roman" w:hAnsi="Times New Roman" w:cs="Times New Roman"/>
          <w:u w:val="none"/>
          <w:sz w:val="21"/>
          <w:position w:val="0"/>
          <w:color w:val="000000"/>
          <w:noProof w:val="true"/>
          <w:spacing w:val="-3"/>
          <w:w w:val="100"/>
        </w:rPr>
        <w:t>14</w:t>
      </w:r>
    </w:p>
    <w:p w:rsidR="005A76FB" w:rsidRDefault="005A76FB" w:rsidP="005A76FB">
      <w:pPr>
        <w:widowControl/>
        <w:jc w:val="left"/>
        <w:rPr/>
        <w:sectPr w:rsidR="005A76FB" w:rsidSect="005A76FB">
          <w:type w:val="continuous"/>
          <w:pgSz w:w="11900" w:h="16840"/>
          <w:pgMar w:top="795" w:right="992" w:bottom="555" w:left="1352" w:header="0" w:footer="0" w:gutter="0"/>
          <w:cols w:num="1" w:equalWidth="0">
            <w:col w:w="9557" w:space="0"/>
          </w:cols>
          <w:docGrid w:type="lines" w:linePitch="312"/>
        </w:sectPr>
      </w:pPr>
    </w:p>
    <w:bookmarkStart w:id="17" w:name="17"/>
    <w:bookmarkEnd w:id="17"/>
    <w:tbl>
      <w:tblPr>
        <w:tblStyle w:val="a6"/>
        <w:tblpPr w:leftFromText="180" w:rightFromText="180" vertAnchor="page" horzAnchor="page" w:tblpX="384" w:tblpY="2524"/>
        <w:tblW w:w="0" w:type="auto"/>
        <w:tblLayout w:type="fixed"/>
        <w:tblLook w:val="04A0"/>
      </w:tblPr>
      <w:tblGrid>
        <w:gridCol w:w="2305"/>
        <w:gridCol w:w="7097"/>
      </w:tblGrid>
      <w:tr w:rsidR="00AD10A2" w:rsidTr="00CB73A4">
        <w:trPr>
          <w:trHeight w:hRule="exact" w:val="456"/>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7" w:lineRule="exact"/>
              <w:ind w:left="871" w:right="-239"/>
              <w:rPr/>
            </w:pPr>
            <w:r>
              <w:rPr>
                <w:rFonts w:ascii="宋体" w:eastAsia="宋体" w:hAnsi="宋体" w:cs="宋体"/>
                <w:u w:val="none"/>
                <w:sz w:val="28"/>
                <w:position w:val="0"/>
                <w:color w:val="000000"/>
                <w:noProof w:val="true"/>
                <w:spacing w:val="-5"/>
                <w:w w:val="100"/>
              </w:rPr>
              <w:t>剂型</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7" w:lineRule="exact"/>
              <w:ind w:left="2427" w:right="-239"/>
              <w:rPr/>
            </w:pPr>
            <w:r>
              <w:rPr>
                <w:rFonts w:ascii="宋体" w:eastAsia="宋体" w:hAnsi="宋体" w:cs="宋体"/>
                <w:u w:val="none"/>
                <w:sz w:val="28"/>
                <w:position w:val="0"/>
                <w:color w:val="000000"/>
                <w:noProof w:val="true"/>
                <w:spacing w:val="-5"/>
                <w:w w:val="100"/>
              </w:rPr>
              <w:t>制剂基本评价项目</w:t>
            </w:r>
          </w:p>
        </w:tc>
      </w:tr>
      <w:tr w:rsidR="00AD10A2" w:rsidTr="00CB73A4">
        <w:trPr>
          <w:trHeight w:hRule="exact" w:val="912"/>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872" w:right="-239"/>
              <w:rPr/>
            </w:pPr>
          </w:p>
          <w:p w:rsidR="005A76FB" w:rsidRDefault="005A76FB" w:rsidP="005A76FB">
            <w:pPr>
              <w:spacing w:before="0" w:after="0" w:line="424" w:lineRule="exact"/>
              <w:ind w:left="872" w:right="-239"/>
              <w:rPr/>
            </w:pPr>
            <w:r>
              <w:rPr>
                <w:rFonts w:ascii="宋体" w:eastAsia="宋体" w:hAnsi="宋体" w:cs="宋体"/>
                <w:u w:val="none"/>
                <w:sz w:val="28"/>
                <w:position w:val="0"/>
                <w:color w:val="000000"/>
                <w:noProof w:val="true"/>
                <w:spacing w:val="-5"/>
                <w:w w:val="100"/>
              </w:rPr>
              <w:t>片剂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20"/>
                <w:w w:val="100"/>
              </w:rPr>
              <w:t>性状、硬度、脆碎度、崩解时限、水分、溶出度或释放度、</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28"/>
                <w:w w:val="100"/>
              </w:rPr>
              <w:t>含量均匀度（小规格）、有关物质、含量</w:t>
            </w:r>
          </w:p>
        </w:tc>
      </w:tr>
      <w:tr w:rsidR="00AD10A2" w:rsidTr="00CB73A4">
        <w:trPr>
          <w:trHeight w:hRule="exact" w:val="912"/>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33" w:right="-239"/>
              <w:rPr/>
            </w:pPr>
          </w:p>
          <w:p w:rsidR="005A76FB" w:rsidRDefault="005A76FB" w:rsidP="005A76FB">
            <w:pPr>
              <w:spacing w:before="0" w:after="0" w:line="424" w:lineRule="exact"/>
              <w:ind w:left="733" w:right="-239"/>
              <w:rPr/>
            </w:pPr>
            <w:r>
              <w:rPr>
                <w:rFonts w:ascii="宋体" w:eastAsia="宋体" w:hAnsi="宋体" w:cs="宋体"/>
                <w:u w:val="none"/>
                <w:sz w:val="28"/>
                <w:position w:val="0"/>
                <w:color w:val="000000"/>
                <w:noProof w:val="true"/>
                <w:spacing w:val="-6"/>
                <w:w w:val="100"/>
              </w:rPr>
              <w:t>胶囊剂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15"/>
                <w:w w:val="100"/>
              </w:rPr>
              <w:t>性状、内容物的流动性和堆密度、水分、溶出度或释放度、</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13"/>
                <w:w w:val="100"/>
              </w:rPr>
              <w:t>含量均匀度（小规格）、有关物质、含量</w:t>
            </w:r>
          </w:p>
        </w:tc>
      </w:tr>
      <w:tr w:rsidR="00AD10A2" w:rsidTr="00CB73A4">
        <w:trPr>
          <w:trHeight w:hRule="exact" w:val="912"/>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33" w:right="-239"/>
              <w:rPr/>
            </w:pPr>
          </w:p>
          <w:p w:rsidR="005A76FB" w:rsidRDefault="005A76FB" w:rsidP="005A76FB">
            <w:pPr>
              <w:spacing w:before="0" w:after="0" w:line="424" w:lineRule="exact"/>
              <w:ind w:left="733" w:right="-239"/>
              <w:rPr/>
            </w:pPr>
            <w:r>
              <w:rPr>
                <w:rFonts w:ascii="宋体" w:eastAsia="宋体" w:hAnsi="宋体" w:cs="宋体"/>
                <w:u w:val="none"/>
                <w:sz w:val="28"/>
                <w:position w:val="0"/>
                <w:color w:val="000000"/>
                <w:noProof w:val="true"/>
                <w:spacing w:val="-6"/>
                <w:w w:val="100"/>
              </w:rPr>
              <w:t>颗粒剂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9"/>
                <w:w w:val="100"/>
              </w:rPr>
              <w:t>性状、粒度、流动性、溶出度或释放度、溶化性、干燥失</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16"/>
                <w:w w:val="100"/>
              </w:rPr>
              <w:t>重、有关物质、含量</w:t>
            </w:r>
          </w:p>
        </w:tc>
      </w:tr>
      <w:tr w:rsidR="00AD10A2" w:rsidTr="00CB73A4">
        <w:trPr>
          <w:trHeight w:hRule="exact" w:val="1370"/>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733" w:right="-239"/>
              <w:rPr/>
            </w:pPr>
          </w:p>
          <w:p w:rsidR="005A76FB" w:rsidRDefault="005A76FB" w:rsidP="005A76FB">
            <w:pPr>
              <w:spacing w:before="0" w:after="0" w:line="414" w:lineRule="exact"/>
              <w:ind w:left="733" w:right="-239"/>
              <w:rPr/>
            </w:pPr>
            <w:r>
              <w:rPr>
                <w:rFonts w:ascii="宋体" w:eastAsia="宋体" w:hAnsi="宋体" w:cs="宋体"/>
                <w:u w:val="none"/>
                <w:sz w:val="28"/>
                <w:position w:val="0"/>
                <w:color w:val="000000"/>
                <w:noProof w:val="true"/>
                <w:spacing w:val="-6"/>
                <w:w w:val="100"/>
              </w:rPr>
              <w:t>注射剂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1"/>
                <w:w w:val="100"/>
              </w:rPr>
              <w:t>性状、溶液的颜色与澄清度、澄明度、pH</w:t>
            </w:r>
            <w:r>
              <w:rPr>
                <w:rFonts w:ascii="Calibri" w:hAnsi="Calibri" w:cs="Calibri"/>
                <w:u w:val="none"/>
                <w:sz w:val="28"/>
                <w:color w:val="000000"/>
                <w:noProof w:val="true"/>
                <w:spacing w:val="19"/>
                <w:w w:val="100"/>
              </w:rPr>
              <w:t> </w:t>
            </w:r>
            <w:r>
              <w:rPr>
                <w:rFonts w:ascii="宋体" w:hAnsi="宋体" w:cs="宋体"/>
                <w:u w:val="none"/>
                <w:sz w:val="28"/>
                <w:position w:val="0"/>
                <w:color w:val="000000"/>
                <w:noProof w:val="true"/>
                <w:spacing w:val="-5"/>
                <w:w w:val="100"/>
              </w:rPr>
              <w:t>值、不溶性微</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15"/>
                <w:w w:val="100"/>
              </w:rPr>
              <w:t>粒、渗透压、有关物质、含量、无菌、细菌内毒素或热原、</w:t>
            </w:r>
          </w:p>
          <w:p w:rsidR="005A76FB" w:rsidRDefault="005A76FB" w:rsidP="005A76FB">
            <w:pPr>
              <w:spacing w:before="0" w:after="0" w:line="400" w:lineRule="exact"/>
              <w:ind w:left="108" w:right="-239"/>
              <w:rPr/>
            </w:pPr>
            <w:r>
              <w:rPr>
                <w:rFonts w:ascii="宋体" w:eastAsia="宋体" w:hAnsi="宋体" w:cs="宋体"/>
                <w:u w:val="none"/>
                <w:sz w:val="28"/>
                <w:position w:val="0"/>
                <w:color w:val="000000"/>
                <w:noProof w:val="true"/>
                <w:spacing w:val="-5"/>
                <w:w w:val="100"/>
              </w:rPr>
              <w:t>刺激性等</w:t>
            </w:r>
          </w:p>
        </w:tc>
      </w:tr>
      <w:tr w:rsidR="00AD10A2" w:rsidTr="00CB73A4">
        <w:trPr>
          <w:trHeight w:hRule="exact" w:val="1813"/>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733" w:right="-239"/>
              <w:rPr/>
            </w:pPr>
          </w:p>
          <w:p w:rsidR="005A76FB" w:rsidRDefault="005A76FB" w:rsidP="005A76FB">
            <w:pPr>
              <w:spacing w:before="0" w:after="0" w:line="395" w:lineRule="exact"/>
              <w:ind w:left="733" w:right="-239"/>
              <w:rPr/>
            </w:pPr>
            <w:r>
              <w:rPr>
                <w:rFonts w:ascii="宋体" w:eastAsia="宋体" w:hAnsi="宋体" w:cs="宋体"/>
                <w:u w:val="none"/>
                <w:sz w:val="28"/>
                <w:position w:val="0"/>
                <w:color w:val="000000"/>
                <w:noProof w:val="true"/>
                <w:spacing w:val="-6"/>
                <w:w w:val="100"/>
              </w:rPr>
              <w:t>滴眼剂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MS Gothic" w:hAnsi="MS Gothic" w:cs="MS Gothic"/>
                <w:u w:val="none"/>
                <w:sz w:val="28"/>
                <w:position w:val="0"/>
                <w:color w:val="000000"/>
                <w:noProof w:val="true"/>
                <w:spacing w:val="0"/>
                <w:w w:val="100"/>
              </w:rPr>
              <w:t>溶液型：性状、可见异物、pH</w:t>
            </w:r>
            <w:r>
              <w:rPr>
                <w:rFonts w:ascii="Calibri" w:hAnsi="Calibri" w:cs="Calibri"/>
                <w:u w:val="none"/>
                <w:sz w:val="28"/>
                <w:color w:val="000000"/>
                <w:noProof w:val="true"/>
                <w:spacing w:val="19"/>
                <w:w w:val="100"/>
              </w:rPr>
              <w:t> </w:t>
            </w:r>
            <w:r>
              <w:rPr>
                <w:rFonts w:ascii="宋体" w:hAnsi="宋体" w:cs="宋体"/>
                <w:u w:val="none"/>
                <w:sz w:val="28"/>
                <w:position w:val="0"/>
                <w:color w:val="000000"/>
                <w:noProof w:val="true"/>
                <w:spacing w:val="-5"/>
                <w:w w:val="100"/>
              </w:rPr>
              <w:t>值、渗透压、有关物质、</w:t>
            </w:r>
          </w:p>
          <w:p w:rsidR="005A76FB" w:rsidRDefault="005A76FB" w:rsidP="005A76FB">
            <w:pPr>
              <w:spacing w:before="0" w:after="0" w:line="400" w:lineRule="exact"/>
              <w:ind w:left="108" w:right="-239"/>
              <w:rPr/>
            </w:pPr>
            <w:r>
              <w:rPr>
                <w:rFonts w:ascii="宋体" w:eastAsia="宋体" w:hAnsi="宋体" w:cs="宋体"/>
                <w:u w:val="none"/>
                <w:sz w:val="28"/>
                <w:position w:val="0"/>
                <w:color w:val="000000"/>
                <w:noProof w:val="true"/>
                <w:spacing w:val="-6"/>
                <w:w w:val="100"/>
              </w:rPr>
              <w:t>含量</w:t>
            </w:r>
          </w:p>
          <w:p w:rsidR="005A76FB" w:rsidRDefault="005A76FB" w:rsidP="005A76FB">
            <w:pPr>
              <w:spacing w:before="0" w:after="0" w:line="401" w:lineRule="exact"/>
              <w:ind w:left="108" w:right="-239"/>
              <w:rPr/>
            </w:pPr>
            <w:r>
              <w:rPr>
                <w:rFonts w:ascii="宋体" w:hAnsi="宋体" w:cs="宋体"/>
                <w:u w:val="none"/>
                <w:sz w:val="28"/>
                <w:position w:val="0"/>
                <w:color w:val="000000"/>
                <w:noProof w:val="true"/>
                <w:spacing w:val="-21"/>
                <w:w w:val="100"/>
              </w:rPr>
              <w:t>混悬型：性状、沉降体积比、粒度、渗透压、再分散性（多</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13"/>
                <w:w w:val="100"/>
              </w:rPr>
              <w:t>剂量产品）、pH</w:t>
            </w:r>
            <w:r>
              <w:rPr>
                <w:rFonts w:ascii="Calibri" w:hAnsi="Calibri" w:cs="Calibri"/>
                <w:u w:val="none"/>
                <w:sz w:val="28"/>
                <w:color w:val="000000"/>
                <w:noProof w:val="true"/>
                <w:spacing w:val="3"/>
                <w:w w:val="100"/>
              </w:rPr>
              <w:t> </w:t>
            </w:r>
            <w:r>
              <w:rPr>
                <w:rFonts w:ascii="宋体" w:hAnsi="宋体" w:cs="宋体"/>
                <w:u w:val="none"/>
                <w:sz w:val="28"/>
                <w:position w:val="0"/>
                <w:color w:val="000000"/>
                <w:noProof w:val="true"/>
                <w:spacing w:val="-5"/>
                <w:w w:val="100"/>
              </w:rPr>
              <w:t>值、有关物质、含量</w:t>
            </w:r>
          </w:p>
        </w:tc>
      </w:tr>
      <w:tr w:rsidR="00AD10A2" w:rsidTr="00CB73A4">
        <w:trPr>
          <w:trHeight w:hRule="exact" w:val="912"/>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4" w:lineRule="exact"/>
              <w:ind w:left="108" w:right="-239"/>
              <w:rPr/>
            </w:pPr>
            <w:r>
              <w:rPr>
                <w:rFonts w:ascii="宋体" w:hAnsi="宋体" w:cs="宋体"/>
                <w:u w:val="none"/>
                <w:sz w:val="28"/>
                <w:position w:val="0"/>
                <w:color w:val="000000"/>
                <w:noProof w:val="true"/>
                <w:spacing w:val="-7"/>
                <w:w w:val="100"/>
              </w:rPr>
              <w:t>软膏剂、乳膏剂、</w:t>
            </w:r>
          </w:p>
          <w:p w:rsidR="005A76FB" w:rsidRDefault="005A76FB" w:rsidP="005A76FB">
            <w:pPr>
              <w:spacing w:before="0" w:after="0" w:line="400" w:lineRule="exact"/>
              <w:ind w:left="872" w:right="-239"/>
              <w:rPr/>
            </w:pPr>
            <w:r>
              <w:rPr>
                <w:rFonts w:ascii="宋体" w:eastAsia="宋体" w:hAnsi="宋体" w:cs="宋体"/>
                <w:u w:val="none"/>
                <w:sz w:val="28"/>
                <w:position w:val="0"/>
                <w:color w:val="000000"/>
                <w:noProof w:val="true"/>
                <w:spacing w:val="-6"/>
                <w:w w:val="100"/>
              </w:rPr>
              <w:t>糊剂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11"/>
                <w:w w:val="100"/>
              </w:rPr>
              <w:t>性状、粒度（混悬型）、稠度或粘度、有关物质、含量</w:t>
            </w:r>
          </w:p>
        </w:tc>
      </w:tr>
      <w:tr w:rsidR="00AD10A2" w:rsidTr="00CB73A4">
        <w:trPr>
          <w:trHeight w:hRule="exact" w:val="2273"/>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73" w:right="-239"/>
              <w:rPr/>
            </w:pPr>
          </w:p>
          <w:p w:rsidR="005A76FB" w:rsidRDefault="005A76FB" w:rsidP="005A76FB">
            <w:pPr>
              <w:spacing w:before="0" w:after="0" w:line="465" w:lineRule="exact"/>
              <w:ind w:left="173" w:right="-239"/>
              <w:rPr/>
            </w:pPr>
            <w:r>
              <w:rPr>
                <w:rFonts w:ascii="宋体" w:hAnsi="宋体" w:cs="宋体"/>
                <w:u w:val="none"/>
                <w:sz w:val="28"/>
                <w:position w:val="0"/>
                <w:color w:val="000000"/>
                <w:noProof w:val="true"/>
                <w:spacing w:val="-5"/>
                <w:w w:val="100"/>
              </w:rPr>
              <w:t>口服溶液剂、口</w:t>
            </w:r>
          </w:p>
          <w:p w:rsidR="005A76FB" w:rsidRDefault="005A76FB" w:rsidP="005A76FB">
            <w:pPr>
              <w:spacing w:before="0" w:after="0" w:line="400" w:lineRule="exact"/>
              <w:ind w:left="173" w:right="-239"/>
              <w:rPr/>
            </w:pPr>
            <w:r>
              <w:rPr>
                <w:rFonts w:ascii="宋体" w:hAnsi="宋体" w:cs="宋体"/>
                <w:u w:val="none"/>
                <w:sz w:val="28"/>
                <w:position w:val="0"/>
                <w:color w:val="000000"/>
                <w:noProof w:val="true"/>
                <w:spacing w:val="-5"/>
                <w:w w:val="100"/>
              </w:rPr>
              <w:t>服混悬剂、口服</w:t>
            </w:r>
          </w:p>
          <w:p w:rsidR="005A76FB" w:rsidRDefault="005A76FB" w:rsidP="005A76FB">
            <w:pPr>
              <w:spacing w:before="0" w:after="0" w:line="401" w:lineRule="exact"/>
              <w:ind w:left="872" w:right="-239"/>
              <w:rPr/>
            </w:pPr>
            <w:r>
              <w:rPr>
                <w:rFonts w:ascii="宋体" w:eastAsia="宋体" w:hAnsi="宋体" w:cs="宋体"/>
                <w:u w:val="none"/>
                <w:sz w:val="28"/>
                <w:position w:val="0"/>
                <w:color w:val="000000"/>
                <w:noProof w:val="true"/>
                <w:spacing w:val="-6"/>
                <w:w w:val="100"/>
              </w:rPr>
              <w:t>乳剂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6"/>
                <w:w w:val="100"/>
              </w:rPr>
              <w:t>溶液型：性状、溶液的颜色、澄清度、pH</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9"/>
                <w:w w:val="100"/>
              </w:rPr>
              <w:t>值、有关物质、</w:t>
            </w:r>
          </w:p>
          <w:p w:rsidR="005A76FB" w:rsidRDefault="005A76FB" w:rsidP="005A76FB">
            <w:pPr>
              <w:spacing w:before="0" w:after="0" w:line="400" w:lineRule="exact"/>
              <w:ind w:left="108" w:right="-239"/>
              <w:rPr/>
            </w:pPr>
            <w:r>
              <w:rPr>
                <w:rFonts w:ascii="宋体" w:eastAsia="宋体" w:hAnsi="宋体" w:cs="宋体"/>
                <w:u w:val="none"/>
                <w:sz w:val="28"/>
                <w:position w:val="0"/>
                <w:color w:val="000000"/>
                <w:noProof w:val="true"/>
                <w:spacing w:val="-6"/>
                <w:w w:val="100"/>
              </w:rPr>
              <w:t>含量</w:t>
            </w:r>
          </w:p>
          <w:p w:rsidR="005A76FB" w:rsidRDefault="005A76FB" w:rsidP="005A76FB">
            <w:pPr>
              <w:spacing w:before="0" w:after="0" w:line="401" w:lineRule="exact"/>
              <w:ind w:left="108" w:right="-239"/>
              <w:rPr/>
            </w:pPr>
            <w:r>
              <w:rPr>
                <w:rFonts w:ascii="宋体" w:hAnsi="宋体" w:cs="宋体"/>
                <w:u w:val="none"/>
                <w:sz w:val="28"/>
                <w:position w:val="0"/>
                <w:color w:val="000000"/>
                <w:noProof w:val="true"/>
                <w:spacing w:val="-1"/>
                <w:w w:val="100"/>
              </w:rPr>
              <w:t>混悬型：性状、沉降体积比、粒度、pH</w:t>
            </w:r>
            <w:r>
              <w:rPr>
                <w:rFonts w:ascii="Calibri" w:hAnsi="Calibri" w:cs="Calibri"/>
                <w:u w:val="none"/>
                <w:sz w:val="28"/>
                <w:color w:val="000000"/>
                <w:noProof w:val="true"/>
                <w:spacing w:val="19"/>
                <w:w w:val="100"/>
              </w:rPr>
              <w:t> </w:t>
            </w:r>
            <w:r>
              <w:rPr>
                <w:rFonts w:ascii="宋体" w:hAnsi="宋体" w:cs="宋体"/>
                <w:u w:val="none"/>
                <w:sz w:val="28"/>
                <w:position w:val="0"/>
                <w:color w:val="000000"/>
                <w:noProof w:val="true"/>
                <w:spacing w:val="-5"/>
                <w:w w:val="100"/>
              </w:rPr>
              <w:t>值、再分散性、</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13"/>
                <w:w w:val="100"/>
              </w:rPr>
              <w:t>干燥失重（干混悬剂）、有关物质、含量</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5"/>
                <w:w w:val="100"/>
              </w:rPr>
              <w:t>乳剂型：性状、物理稳定性、有关物质、含量</w:t>
            </w:r>
          </w:p>
        </w:tc>
      </w:tr>
      <w:tr w:rsidR="00AD10A2" w:rsidTr="00CB73A4">
        <w:trPr>
          <w:trHeight w:hRule="exact" w:val="912"/>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884" w:right="-239"/>
              <w:rPr/>
            </w:pPr>
          </w:p>
          <w:p w:rsidR="005A76FB" w:rsidRDefault="005A76FB" w:rsidP="005A76FB">
            <w:pPr>
              <w:spacing w:before="0" w:after="0" w:line="424" w:lineRule="exact"/>
              <w:ind w:left="884" w:right="-239"/>
              <w:rPr/>
            </w:pPr>
            <w:r>
              <w:rPr>
                <w:rFonts w:ascii="宋体" w:eastAsia="宋体" w:hAnsi="宋体" w:cs="宋体"/>
                <w:u w:val="none"/>
                <w:sz w:val="28"/>
                <w:position w:val="0"/>
                <w:color w:val="000000"/>
                <w:noProof w:val="true"/>
                <w:spacing w:val="-11"/>
                <w:w w:val="100"/>
              </w:rPr>
              <w:t>贴剂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25"/>
                <w:w w:val="100"/>
              </w:rPr>
              <w:t>性状、剥脱力、粘附强度、透皮速率、释放度、含量均匀性、</w:t>
            </w:r>
          </w:p>
          <w:p w:rsidR="005A76FB" w:rsidRDefault="005A76FB" w:rsidP="005A76FB">
            <w:pPr>
              <w:spacing w:before="0" w:after="0" w:line="400" w:lineRule="exact"/>
              <w:ind w:left="108" w:right="-239"/>
              <w:rPr/>
            </w:pPr>
            <w:r>
              <w:rPr>
                <w:rFonts w:ascii="宋体" w:hAnsi="宋体" w:cs="宋体"/>
                <w:u w:val="none"/>
                <w:sz w:val="28"/>
                <w:position w:val="0"/>
                <w:color w:val="000000"/>
                <w:noProof w:val="true"/>
                <w:spacing w:val="-19"/>
                <w:w w:val="100"/>
              </w:rPr>
              <w:t>有关物质、含量</w:t>
            </w:r>
          </w:p>
        </w:tc>
      </w:tr>
      <w:tr w:rsidR="00AD10A2" w:rsidTr="00CB73A4">
        <w:trPr>
          <w:trHeight w:hRule="exact" w:val="469"/>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3" w:lineRule="exact"/>
              <w:ind w:left="733" w:right="-239"/>
              <w:rPr/>
            </w:pPr>
            <w:r>
              <w:rPr>
                <w:rFonts w:ascii="宋体" w:eastAsia="宋体" w:hAnsi="宋体" w:cs="宋体"/>
                <w:u w:val="none"/>
                <w:sz w:val="28"/>
                <w:position w:val="0"/>
                <w:color w:val="000000"/>
                <w:noProof w:val="true"/>
                <w:spacing w:val="-6"/>
                <w:w w:val="100"/>
              </w:rPr>
              <w:t>凝胶剂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10"/>
                <w:w w:val="100"/>
              </w:rPr>
              <w:t>性状、pH</w:t>
            </w:r>
            <w:r>
              <w:rPr>
                <w:rFonts w:ascii="Calibri" w:hAnsi="Calibri" w:cs="Calibri"/>
                <w:u w:val="none"/>
                <w:sz w:val="28"/>
                <w:color w:val="000000"/>
                <w:noProof w:val="true"/>
                <w:spacing w:val="3"/>
                <w:w w:val="100"/>
              </w:rPr>
              <w:t> </w:t>
            </w:r>
            <w:r>
              <w:rPr>
                <w:rFonts w:ascii="宋体" w:hAnsi="宋体" w:cs="宋体"/>
                <w:u w:val="none"/>
                <w:sz w:val="28"/>
                <w:position w:val="0"/>
                <w:color w:val="000000"/>
                <w:noProof w:val="true"/>
                <w:spacing w:val="-12"/>
                <w:w w:val="100"/>
              </w:rPr>
              <w:t>值、粒度（混悬型）、粘度、有关物质、含量</w:t>
            </w:r>
          </w:p>
        </w:tc>
      </w:tr>
      <w:tr w:rsidR="00AD10A2" w:rsidTr="00CB73A4">
        <w:trPr>
          <w:trHeight w:hRule="exact" w:val="455"/>
        </w:trPr>
        <w:tc>
          <w:tcPr>
            <w:tcW w:w="2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5" w:lineRule="exact"/>
              <w:ind w:left="872" w:right="-239"/>
              <w:rPr/>
            </w:pPr>
            <w:r>
              <w:rPr>
                <w:rFonts w:ascii="宋体" w:eastAsia="宋体" w:hAnsi="宋体" w:cs="宋体"/>
                <w:u w:val="none"/>
                <w:sz w:val="28"/>
                <w:position w:val="0"/>
                <w:color w:val="000000"/>
                <w:noProof w:val="true"/>
                <w:spacing w:val="-5"/>
                <w:w w:val="100"/>
              </w:rPr>
              <w:t>栓剂</w:t>
            </w:r>
          </w:p>
        </w:tc>
        <w:tc>
          <w:tcPr>
            <w:tcW w:w="70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宋体" w:hAnsi="宋体" w:cs="宋体"/>
                <w:u w:val="none"/>
                <w:sz w:val="28"/>
                <w:position w:val="0"/>
                <w:color w:val="000000"/>
                <w:noProof w:val="true"/>
                <w:spacing w:val="-5"/>
                <w:w w:val="100"/>
              </w:rPr>
              <w:t>性状、融变时限、溶出度或释放度、有关物质、含量</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57"/>
        <w:ind/>
        <w:rPr/>
      </w:pPr>
    </w:p>
    <w:p w:rsidR="005A76FB" w:rsidRDefault="005A76FB" w:rsidP="005A76FB">
      <w:pPr>
        <w:widowControl/>
        <w:jc w:val="left"/>
        <w:rPr/>
        <w:sectPr w:rsidR="005A76FB" w:rsidSect="005A76FB">
          <w:type w:val="continuous"/>
          <w:pgSz w:w="11900" w:h="16841"/>
          <w:pgMar w:top="795" w:right="646" w:bottom="555" w:left="1006" w:header="0" w:footer="0" w:gutter="0"/>
          <w:docGrid w:type="lines" w:linePitch="312"/>
        </w:sectPr>
      </w:pPr>
    </w:p>
    <w:p w:rsidR="005A76FB" w:rsidRDefault="005A76FB" w:rsidP="005A76FB">
      <w:pPr>
        <w:spacing w:before="0" w:after="0" w:line="417" w:lineRule="exact"/>
        <w:ind w:left="1053" w:firstLine="0"/>
        <w:jc w:val="left"/>
        <w:rPr/>
      </w:pPr>
      <w:r>
        <w:rPr>
          <w:rFonts w:ascii="宋体" w:hAnsi="宋体" w:cs="宋体"/>
          <w:u w:val="none"/>
          <w:sz w:val="32"/>
          <w:position w:val="0"/>
          <w:color w:val="000000"/>
          <w:noProof w:val="true"/>
          <w:spacing w:val="-5"/>
          <w:w w:val="100"/>
        </w:rPr>
        <w:t>八、附录</w:t>
      </w:r>
    </w:p>
    <w:p w:rsidR="005A76FB" w:rsidRDefault="005A76FB" w:rsidP="005A76FB">
      <w:pPr>
        <w:widowControl/>
        <w:jc w:val="left"/>
        <w:rPr/>
        <w:sectPr w:rsidR="005A76FB" w:rsidSect="005A76FB">
          <w:type w:val="continuous"/>
          <w:pgSz w:w="11900" w:h="16841"/>
          <w:pgMar w:top="795" w:right="646" w:bottom="555" w:left="1006" w:header="0" w:footer="0" w:gutter="0"/>
          <w:cols w:num="1" w:equalWidth="0">
            <w:col w:w="10247" w:space="0"/>
          </w:cols>
          <w:docGrid w:type="lines" w:linePitch="312"/>
        </w:sectPr>
      </w:pPr>
    </w:p>
    <w:p w:rsidR="005A76FB" w:rsidRDefault="005A76FB" w:rsidP="005A76FB">
      <w:pPr>
        <w:spacing w:before="0" w:after="0" w:lineRule="exact" w:line="221"/>
        <w:ind w:left="1053" w:firstLine="0"/>
        <w:rPr/>
      </w:pPr>
    </w:p>
    <w:p w:rsidR="005A76FB" w:rsidRDefault="005A76FB" w:rsidP="005A76FB">
      <w:pPr>
        <w:widowControl/>
        <w:jc w:val="left"/>
        <w:rPr/>
        <w:sectPr w:rsidR="005A76FB" w:rsidSect="005A76FB">
          <w:type w:val="continuous"/>
          <w:pgSz w:w="11900" w:h="16841"/>
          <w:pgMar w:top="795" w:right="646" w:bottom="555" w:left="1006" w:header="0" w:footer="0" w:gutter="0"/>
          <w:docGrid w:type="lines" w:linePitch="312"/>
        </w:sectPr>
      </w:pPr>
    </w:p>
    <w:p w:rsidR="005A76FB" w:rsidRDefault="005A76FB" w:rsidP="005A76FB">
      <w:pPr>
        <w:spacing w:before="0" w:after="0" w:line="390" w:lineRule="exact"/>
        <w:ind w:firstLine="0" w:left="2661"/>
        <w:jc w:val="left"/>
        <w:rPr/>
      </w:pPr>
      <w:r>
        <w:rPr>
          <w:rFonts w:ascii="宋体" w:eastAsia="宋体" w:hAnsi="宋体" w:cs="宋体"/>
          <w:u w:val="none"/>
          <w:sz w:val="30"/>
          <w:position w:val="0"/>
          <w:color w:val="000000"/>
          <w:noProof w:val="true"/>
          <w:spacing w:val="-5"/>
          <w:w w:val="100"/>
        </w:rPr>
        <w:t>附表</w:t>
      </w:r>
      <w:r>
        <w:rPr>
          <w:rFonts w:ascii="Calibri" w:hAnsi="Calibri" w:cs="Calibri"/>
          <w:u w:val="none"/>
          <w:sz w:val="30"/>
          <w:color w:val="000000"/>
          <w:noProof w:val="true"/>
          <w:spacing w:val="6"/>
          <w:w w:val="100"/>
        </w:rPr>
        <w:t> </w:t>
      </w:r>
      <w:r>
        <w:rPr>
          <w:rFonts w:ascii="Arial" w:hAnsi="Arial" w:cs="Arial"/>
          <w:u w:val="none"/>
          <w:sz w:val="30"/>
          <w:position w:val="0"/>
          <w:color w:val="000000"/>
          <w:noProof w:val="true"/>
          <w:spacing w:val="-29"/>
          <w:w w:val="100"/>
        </w:rPr>
        <w:t>1</w:t>
      </w:r>
      <w:r>
        <w:rPr>
          <w:rFonts w:ascii="Calibri" w:hAnsi="Calibri" w:cs="Calibri"/>
          <w:u w:val="none"/>
          <w:sz w:val="30"/>
          <w:color w:val="000000"/>
          <w:noProof w:val="true"/>
          <w:spacing w:val="0"/>
          <w:w w:val="217"/>
        </w:rPr>
        <w:t> </w:t>
      </w:r>
      <w:r>
        <w:rPr>
          <w:rFonts w:ascii="宋体" w:eastAsia="宋体" w:hAnsi="宋体" w:cs="宋体"/>
          <w:u w:val="none"/>
          <w:sz w:val="30"/>
          <w:position w:val="0"/>
          <w:color w:val="000000"/>
          <w:noProof w:val="true"/>
          <w:spacing w:val="-5"/>
          <w:w w:val="100"/>
        </w:rPr>
        <w:t>主要剂型及其基本评价项目</w:t>
      </w:r>
    </w:p>
    <w:p w:rsidR="005A76FB" w:rsidRDefault="005A76FB" w:rsidP="005A76FB">
      <w:pPr>
        <w:widowControl/>
        <w:jc w:val="left"/>
        <w:rPr/>
        <w:sectPr w:rsidR="005A76FB" w:rsidSect="005A76FB">
          <w:type w:val="continuous"/>
          <w:pgSz w:w="11900" w:h="16841"/>
          <w:pgMar w:top="795" w:right="646" w:bottom="555" w:left="1006" w:header="0" w:footer="0" w:gutter="0"/>
          <w:cols w:num="1" w:equalWidth="0">
            <w:col w:w="10247" w:space="0"/>
          </w:cols>
          <w:docGrid w:type="lines" w:linePitch="312"/>
        </w:sectPr>
      </w:pPr>
    </w:p>
    <w:p w:rsidR="005A76FB" w:rsidRDefault="005A76FB" w:rsidP="005A76FB">
      <w:pPr>
        <w:spacing w:before="0" w:after="0" w:lineRule="exact" w:line="240"/>
        <w:ind w:firstLine="0" w:left="2661"/>
        <w:rPr/>
      </w:pPr>
    </w:p>
    <w:p w:rsidR="005A76FB" w:rsidRDefault="005A76FB" w:rsidP="005A76FB">
      <w:pPr>
        <w:spacing w:before="0" w:after="0" w:lineRule="exact" w:line="240"/>
        <w:ind w:firstLine="0" w:left="2661"/>
        <w:rPr/>
      </w:pPr>
    </w:p>
    <w:p w:rsidR="005A76FB" w:rsidRDefault="005A76FB" w:rsidP="005A76FB">
      <w:pPr>
        <w:spacing w:before="0" w:after="0" w:lineRule="exact" w:line="240"/>
        <w:ind w:firstLine="0" w:left="2661"/>
        <w:rPr/>
      </w:pPr>
    </w:p>
    <w:p w:rsidR="005A76FB" w:rsidRDefault="005A76FB" w:rsidP="005A76FB">
      <w:pPr>
        <w:spacing w:before="0" w:after="0" w:lineRule="exact" w:line="240"/>
        <w:ind w:firstLine="0" w:left="2661"/>
        <w:rPr/>
      </w:pPr>
    </w:p>
    <w:p w:rsidR="005A76FB" w:rsidRDefault="005A76FB" w:rsidP="005A76FB">
      <w:pPr>
        <w:spacing w:before="0" w:after="0" w:lineRule="exact" w:line="240"/>
        <w:ind w:firstLine="0" w:left="2661"/>
        <w:rPr/>
      </w:pPr>
    </w:p>
    <w:p w:rsidR="005A76FB" w:rsidRDefault="005A76FB" w:rsidP="005A76FB">
      <w:pPr>
        <w:spacing w:before="0" w:after="0" w:lineRule="exact" w:line="416"/>
        <w:ind w:firstLine="0" w:left="2661"/>
        <w:rPr/>
      </w:pPr>
    </w:p>
    <w:p w:rsidR="005A76FB" w:rsidRDefault="005A76FB" w:rsidP="005A76FB">
      <w:pPr>
        <w:widowControl/>
        <w:jc w:val="left"/>
        <w:rPr/>
        <w:sectPr w:rsidR="005A76FB" w:rsidSect="005A76FB">
          <w:type w:val="continuous"/>
          <w:pgSz w:w="11900" w:h="16841"/>
          <w:pgMar w:top="795" w:right="646" w:bottom="555" w:left="1006" w:header="0" w:footer="0" w:gutter="0"/>
          <w:docGrid w:type="lines" w:linePitch="312"/>
        </w:sectPr>
      </w:pPr>
    </w:p>
    <w:p w:rsidR="005A76FB" w:rsidRDefault="005A76FB" w:rsidP="005A76FB">
      <w:pPr>
        <w:spacing w:before="0" w:after="0" w:line="232" w:lineRule="exact"/>
        <w:ind w:firstLine="0" w:left="4841"/>
        <w:jc w:val="left"/>
        <w:rPr/>
      </w:pPr>
      <w:r>
        <w:rPr>
          <w:rFonts w:ascii="Times New Roman" w:hAnsi="Times New Roman" w:cs="Times New Roman"/>
          <w:u w:val="none"/>
          <w:sz w:val="21"/>
          <w:position w:val="0"/>
          <w:color w:val="000000"/>
          <w:noProof w:val="true"/>
          <w:spacing w:val="-3"/>
          <w:w w:val="100"/>
        </w:rPr>
        <w:t>15</w:t>
      </w:r>
    </w:p>
    <w:p w:rsidR="005A76FB" w:rsidRDefault="005A76FB" w:rsidP="005A76FB">
      <w:pPr>
        <w:widowControl/>
        <w:jc w:val="left"/>
        <w:rPr/>
        <w:sectPr w:rsidR="005A76FB" w:rsidSect="005A76FB">
          <w:type w:val="continuous"/>
          <w:pgSz w:w="11900" w:h="16841"/>
          <w:pgMar w:top="795" w:right="646" w:bottom="555" w:left="1006" w:header="0" w:footer="0" w:gutter="0"/>
          <w:cols w:num="1" w:equalWidth="0">
            <w:col w:w="10247" w:space="0"/>
          </w:cols>
          <w:docGrid w:type="lines" w:linePitch="312"/>
        </w:sectPr>
      </w:pPr>
    </w:p>
    <w:bookmarkStart w:id="18" w:name="18"/>
    <w:bookmarkEnd w:id="1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57"/>
        <w:ind/>
        <w:rPr/>
      </w:pPr>
    </w:p>
    <w:p w:rsidR="005A76FB" w:rsidRDefault="005A76FB" w:rsidP="005A76FB">
      <w:pPr>
        <w:widowControl/>
        <w:jc w:val="left"/>
        <w:rPr/>
        <w:sectPr w:rsidR="005A76FB" w:rsidSect="005A76FB">
          <w:type w:val="continuous"/>
          <w:pgSz w:w="11900" w:h="16840"/>
          <w:pgMar w:top="795" w:right="992" w:bottom="555" w:left="1352" w:header="0" w:footer="0" w:gutter="0"/>
          <w:docGrid w:type="lines" w:linePitch="312"/>
        </w:sectPr>
      </w:pPr>
    </w:p>
    <w:p w:rsidR="005A76FB" w:rsidRDefault="005A76FB" w:rsidP="005A76FB">
      <w:pPr>
        <w:spacing w:before="0" w:after="0" w:line="417" w:lineRule="exact"/>
        <w:ind w:left="66" w:firstLine="641"/>
        <w:jc w:val="left"/>
        <w:rPr/>
      </w:pPr>
      <w:r>
        <w:rPr>
          <w:rFonts w:ascii="宋体" w:hAnsi="宋体" w:cs="宋体"/>
          <w:u w:val="none"/>
          <w:sz w:val="32"/>
          <w:position w:val="0"/>
          <w:color w:val="000000"/>
          <w:noProof w:val="true"/>
          <w:spacing w:val="-5"/>
          <w:w w:val="100"/>
        </w:rPr>
        <w:t>九、参考文献</w:t>
      </w:r>
    </w:p>
    <w:p w:rsidR="005A76FB" w:rsidRDefault="005A76FB" w:rsidP="005A76FB">
      <w:pPr>
        <w:spacing w:before="0" w:after="0" w:lineRule="exact" w:line="234"/>
        <w:ind w:left="66" w:firstLine="641"/>
        <w:rPr/>
      </w:pPr>
    </w:p>
    <w:p w:rsidR="005A76FB" w:rsidRDefault="005A76FB" w:rsidP="005A76FB">
      <w:pPr>
        <w:tabs>
          <w:tab w:val="left" w:pos="6997"/>
          <w:tab w:val="left" w:pos="8067"/>
        </w:tabs>
        <w:spacing w:before="0" w:after="0" w:line="364" w:lineRule="exact"/>
        <w:ind w:firstLine="560" w:left="66"/>
        <w:jc w:val="left"/>
        <w:rPr/>
      </w:pPr>
      <w:r>
        <w:rPr>
          <w:rFonts w:ascii="宋体" w:hAnsi="宋体" w:cs="宋体"/>
          <w:u w:val="none"/>
          <w:sz w:val="28"/>
          <w:position w:val="0"/>
          <w:color w:val="000000"/>
          <w:noProof w:val="true"/>
          <w:spacing w:val="-5"/>
          <w:w w:val="100"/>
        </w:rPr>
        <w:t>1、Note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2"/>
          <w:w w:val="100"/>
        </w:rPr>
        <w:t>Guidance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6"/>
          <w:w w:val="100"/>
        </w:rPr>
        <w:t>on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8"/>
          <w:w w:val="100"/>
        </w:rPr>
        <w:t>Development</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4"/>
          <w:w w:val="100"/>
        </w:rPr>
        <w:t>Pharmaceutics.</w:t>
      </w:r>
      <w:r>
        <w:rPr>
          <w:rFonts w:cs="Calibri"/>
          <w:w w:val="100"/>
        </w:rPr>
        <w:tab/>
      </w:r>
      <w:r>
        <w:rPr>
          <w:rFonts w:ascii="Arial" w:hAnsi="Arial" w:cs="Arial"/>
          <w:u w:val="none"/>
          <w:sz w:val="28"/>
          <w:position w:val="0"/>
          <w:color w:val="000000"/>
          <w:noProof w:val="true"/>
          <w:spacing w:val="-4"/>
          <w:w w:val="100"/>
        </w:rPr>
        <w:t>EMEA</w:t>
      </w:r>
      <w:r>
        <w:rPr>
          <w:rFonts w:cs="Calibri"/>
          <w:w w:val="100"/>
        </w:rPr>
        <w:tab/>
      </w:r>
      <w:r>
        <w:rPr>
          <w:rFonts w:ascii="Arial" w:hAnsi="Arial" w:cs="Arial"/>
          <w:u w:val="none"/>
          <w:sz w:val="28"/>
          <w:position w:val="0"/>
          <w:color w:val="000000"/>
          <w:noProof w:val="true"/>
          <w:spacing w:val="-28"/>
          <w:w w:val="100"/>
        </w:rPr>
        <w:t>1998</w:t>
      </w:r>
    </w:p>
    <w:p w:rsidR="005A76FB" w:rsidRDefault="005A76FB" w:rsidP="005A76FB">
      <w:pPr>
        <w:spacing w:before="0" w:after="0" w:lineRule="exact" w:line="240"/>
        <w:ind w:firstLine="560" w:left="66"/>
        <w:rPr/>
      </w:pPr>
    </w:p>
    <w:p w:rsidR="005A76FB" w:rsidRDefault="005A76FB" w:rsidP="005A76FB">
      <w:pPr>
        <w:spacing w:before="0" w:after="0" w:line="384" w:lineRule="exact"/>
        <w:ind w:firstLine="560" w:left="66"/>
        <w:jc w:val="left"/>
        <w:rPr/>
      </w:pPr>
      <w:r>
        <w:rPr>
          <w:rFonts w:ascii="宋体" w:hAnsi="宋体" w:cs="宋体"/>
          <w:u w:val="none"/>
          <w:sz w:val="28"/>
          <w:position w:val="0"/>
          <w:color w:val="000000"/>
          <w:noProof w:val="true"/>
          <w:spacing w:val="-9"/>
          <w:w w:val="100"/>
        </w:rPr>
        <w:t>2、Development</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4"/>
          <w:w w:val="100"/>
        </w:rPr>
        <w:t>Pharmaceutics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7"/>
          <w:w w:val="100"/>
        </w:rPr>
        <w:t>and</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9"/>
          <w:w w:val="100"/>
        </w:rPr>
        <w:t>Process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4"/>
          <w:w w:val="100"/>
        </w:rPr>
        <w:t>Validation.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5"/>
          <w:w w:val="100"/>
        </w:rPr>
        <w:t>EMEA</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21"/>
          <w:w w:val="100"/>
        </w:rPr>
        <w:t>3AQ1a,</w:t>
      </w:r>
      <w:r>
        <w:rPr>
          <w:rFonts w:ascii="Calibri" w:hAnsi="Calibri" w:cs="Calibri"/>
          <w:u w:val="none"/>
          <w:sz w:val="28"/>
          <w:color w:val="000000"/>
          <w:noProof w:val="true"/>
          <w:spacing w:val="13"/>
          <w:w w:val="100"/>
        </w:rPr>
        <w:t> </w:t>
      </w:r>
      <w:r>
        <w:rPr>
          <w:rFonts w:ascii="Arial" w:hAnsi="Arial" w:cs="Arial"/>
          <w:u w:val="none"/>
          <w:sz w:val="28"/>
          <w:position w:val="0"/>
          <w:color w:val="000000"/>
          <w:noProof w:val="true"/>
          <w:spacing w:val="-28"/>
          <w:w w:val="100"/>
        </w:rPr>
        <w:t>1998</w:t>
      </w:r>
    </w:p>
    <w:p w:rsidR="005A76FB" w:rsidRDefault="005A76FB" w:rsidP="005A76FB">
      <w:pPr>
        <w:spacing w:before="0" w:after="0" w:lineRule="exact" w:line="240"/>
        <w:ind w:firstLine="560" w:left="66"/>
        <w:rPr/>
      </w:pPr>
    </w:p>
    <w:p w:rsidR="005A76FB" w:rsidRDefault="005A76FB" w:rsidP="005A76FB">
      <w:pPr>
        <w:spacing w:before="0" w:after="0" w:line="384" w:lineRule="exact"/>
        <w:ind w:firstLine="560" w:left="66"/>
        <w:jc w:val="left"/>
        <w:rPr/>
      </w:pPr>
      <w:r>
        <w:rPr>
          <w:rFonts w:ascii="Arial" w:hAnsi="Arial" w:cs="Arial"/>
          <w:u w:val="none"/>
          <w:sz w:val="28"/>
          <w:position w:val="0"/>
          <w:color w:val="000000"/>
          <w:noProof w:val="true"/>
          <w:spacing w:val="-28"/>
          <w:w w:val="100"/>
        </w:rPr>
        <w:t>3</w:t>
      </w:r>
      <w:r>
        <w:rPr>
          <w:rFonts w:ascii="Calibri" w:hAnsi="Calibri" w:cs="Calibri"/>
          <w:u w:val="none"/>
          <w:sz w:val="28"/>
          <w:color w:val="000000"/>
          <w:noProof w:val="true"/>
          <w:spacing w:val="15"/>
          <w:w w:val="100"/>
        </w:rPr>
        <w:t> </w:t>
      </w:r>
      <w:r>
        <w:rPr>
          <w:rFonts w:ascii="宋体" w:hAnsi="宋体" w:cs="宋体"/>
          <w:u w:val="none"/>
          <w:sz w:val="28"/>
          <w:position w:val="0"/>
          <w:color w:val="000000"/>
          <w:noProof w:val="true"/>
          <w:spacing w:val="-6"/>
          <w:w w:val="100"/>
        </w:rPr>
        <w:t>、</w:t>
      </w:r>
      <w:r>
        <w:rPr>
          <w:rFonts w:ascii="Calibri" w:hAnsi="Calibri" w:cs="Calibri"/>
          <w:u w:val="none"/>
          <w:sz w:val="28"/>
          <w:color w:val="000000"/>
          <w:noProof w:val="true"/>
          <w:spacing w:val="16"/>
          <w:w w:val="100"/>
        </w:rPr>
        <w:t> </w:t>
      </w:r>
      <w:r>
        <w:rPr>
          <w:rFonts w:ascii="Arial" w:hAnsi="Arial" w:cs="Arial"/>
          <w:u w:val="none"/>
          <w:sz w:val="28"/>
          <w:position w:val="0"/>
          <w:color w:val="000000"/>
          <w:noProof w:val="true"/>
          <w:spacing w:val="-14"/>
          <w:w w:val="100"/>
        </w:rPr>
        <w:t>Quality</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3"/>
          <w:w w:val="100"/>
        </w:rPr>
        <w:t>of</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12"/>
          <w:w w:val="100"/>
        </w:rPr>
        <w:t>Drug</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19"/>
          <w:w w:val="100"/>
        </w:rPr>
        <w:t>Products:</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20"/>
          <w:w w:val="100"/>
        </w:rPr>
        <w:t>The</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22"/>
          <w:w w:val="100"/>
        </w:rPr>
        <w:t>Selection</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27"/>
          <w:w w:val="100"/>
        </w:rPr>
        <w:t>and</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18"/>
          <w:w w:val="100"/>
        </w:rPr>
        <w:t>Development</w:t>
      </w:r>
      <w:r>
        <w:rPr>
          <w:rFonts w:ascii="Calibri" w:hAnsi="Calibri" w:cs="Calibri"/>
          <w:u w:val="none"/>
          <w:sz w:val="28"/>
          <w:color w:val="000000"/>
          <w:noProof w:val="true"/>
          <w:spacing w:val="0"/>
          <w:w w:val="345"/>
        </w:rPr>
        <w:t> </w:t>
      </w:r>
      <w:r>
        <w:rPr>
          <w:rFonts w:ascii="Arial" w:hAnsi="Arial" w:cs="Arial"/>
          <w:u w:val="none"/>
          <w:sz w:val="28"/>
          <w:position w:val="0"/>
          <w:color w:val="000000"/>
          <w:noProof w:val="true"/>
          <w:spacing w:val="-3"/>
          <w:w w:val="100"/>
        </w:rPr>
        <w:t>of</w:t>
      </w:r>
    </w:p>
    <w:p w:rsidR="005A76FB" w:rsidRDefault="005A76FB" w:rsidP="005A76FB">
      <w:pPr>
        <w:spacing w:before="0" w:after="0" w:lineRule="exact" w:line="240"/>
        <w:ind w:firstLine="560" w:left="66"/>
        <w:rPr/>
      </w:pPr>
    </w:p>
    <w:p w:rsidR="005A76FB" w:rsidRDefault="005A76FB" w:rsidP="005A76FB">
      <w:pPr>
        <w:spacing w:before="0" w:after="0" w:line="384" w:lineRule="exact"/>
        <w:ind w:firstLine="0" w:left="66"/>
        <w:jc w:val="left"/>
        <w:rPr/>
      </w:pPr>
      <w:r>
        <w:rPr>
          <w:rFonts w:ascii="Arial" w:hAnsi="Arial" w:cs="Arial"/>
          <w:u w:val="none"/>
          <w:sz w:val="28"/>
          <w:position w:val="0"/>
          <w:color w:val="000000"/>
          <w:noProof w:val="true"/>
          <w:spacing w:val="-16"/>
          <w:w w:val="100"/>
        </w:rPr>
        <w:t>Formulations.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0"/>
          <w:w w:val="100"/>
        </w:rPr>
        <w:t>The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3"/>
          <w:w w:val="100"/>
        </w:rPr>
        <w:t>proceedings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3"/>
          <w:w w:val="100"/>
        </w:rPr>
        <w:t>of</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4"/>
          <w:w w:val="100"/>
        </w:rPr>
        <w:t>4th</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5"/>
          <w:w w:val="100"/>
        </w:rPr>
        <w:t>ICH.</w:t>
      </w:r>
    </w:p>
    <w:p w:rsidR="005A76FB" w:rsidRDefault="005A76FB" w:rsidP="005A76FB">
      <w:pPr>
        <w:spacing w:before="0" w:after="0" w:lineRule="exact" w:line="240"/>
        <w:ind w:firstLine="0" w:left="66"/>
        <w:rPr/>
      </w:pPr>
    </w:p>
    <w:p w:rsidR="005A76FB" w:rsidRDefault="005A76FB" w:rsidP="005A76FB">
      <w:pPr>
        <w:spacing w:before="0" w:after="0" w:line="384" w:lineRule="exact"/>
        <w:ind w:firstLine="560" w:left="66"/>
        <w:jc w:val="left"/>
        <w:rPr/>
      </w:pPr>
      <w:r>
        <w:rPr>
          <w:rFonts w:ascii="宋体" w:hAnsi="宋体" w:cs="宋体"/>
          <w:u w:val="none"/>
          <w:sz w:val="28"/>
          <w:position w:val="0"/>
          <w:color w:val="000000"/>
          <w:noProof w:val="true"/>
          <w:spacing w:val="-15"/>
          <w:w w:val="100"/>
        </w:rPr>
        <w:t>4、化学药品和治疗用生物制品研究指导原则（试行）</w:t>
      </w:r>
      <w:r>
        <w:rPr>
          <w:rFonts w:ascii="Calibri" w:hAnsi="Calibri" w:cs="Calibri"/>
          <w:u w:val="none"/>
          <w:sz w:val="28"/>
          <w:color w:val="000000"/>
          <w:noProof w:val="true"/>
          <w:spacing w:val="0"/>
          <w:w w:val="263"/>
        </w:rPr>
        <w:t> </w:t>
      </w:r>
      <w:r>
        <w:rPr>
          <w:rFonts w:ascii="宋体" w:eastAsia="宋体" w:hAnsi="宋体" w:cs="宋体"/>
          <w:u w:val="none"/>
          <w:sz w:val="28"/>
          <w:position w:val="0"/>
          <w:color w:val="000000"/>
          <w:noProof w:val="true"/>
          <w:spacing w:val="-5"/>
          <w:w w:val="100"/>
        </w:rPr>
        <w:t>郑筱萸主编</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7"/>
          <w:w w:val="100"/>
        </w:rPr>
        <w:t>2002</w:t>
      </w:r>
    </w:p>
    <w:p w:rsidR="005A76FB" w:rsidRDefault="005A76FB" w:rsidP="005A76FB">
      <w:pPr>
        <w:spacing w:before="0" w:after="0" w:lineRule="exact" w:line="240"/>
        <w:ind w:firstLine="560" w:left="66"/>
        <w:rPr/>
      </w:pPr>
    </w:p>
    <w:p w:rsidR="005A76FB" w:rsidRDefault="005A76FB" w:rsidP="005A76FB">
      <w:pPr>
        <w:spacing w:before="0" w:after="0" w:line="384" w:lineRule="exact"/>
        <w:ind w:firstLine="0" w:left="66"/>
        <w:jc w:val="left"/>
        <w:rPr/>
      </w:pPr>
      <w:r>
        <w:rPr>
          <w:rFonts w:ascii="宋体" w:eastAsia="宋体" w:hAnsi="宋体" w:cs="宋体"/>
          <w:u w:val="none"/>
          <w:sz w:val="28"/>
          <w:position w:val="0"/>
          <w:color w:val="000000"/>
          <w:noProof w:val="true"/>
          <w:spacing w:val="-6"/>
          <w:w w:val="100"/>
        </w:rPr>
        <w:t>年</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8"/>
          <w:w w:val="100"/>
        </w:rPr>
        <w:t>5</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5"/>
          <w:w w:val="100"/>
        </w:rPr>
        <w:t>月。</w:t>
      </w:r>
    </w:p>
    <w:p w:rsidR="005A76FB" w:rsidRDefault="005A76FB" w:rsidP="005A76FB">
      <w:pPr>
        <w:spacing w:before="0" w:after="0" w:lineRule="exact" w:line="240"/>
        <w:ind w:firstLine="0" w:left="66"/>
        <w:rPr/>
      </w:pPr>
    </w:p>
    <w:p w:rsidR="005A76FB" w:rsidRDefault="005A76FB" w:rsidP="005A76FB">
      <w:pPr>
        <w:spacing w:before="0" w:after="0" w:line="384" w:lineRule="exact"/>
        <w:ind w:firstLine="560" w:left="66"/>
        <w:jc w:val="left"/>
        <w:rPr/>
      </w:pPr>
      <w:r>
        <w:rPr>
          <w:rFonts w:ascii="宋体" w:hAnsi="宋体" w:cs="宋体"/>
          <w:u w:val="none"/>
          <w:sz w:val="28"/>
          <w:position w:val="0"/>
          <w:color w:val="000000"/>
          <w:noProof w:val="true"/>
          <w:spacing w:val="-20"/>
          <w:w w:val="100"/>
        </w:rPr>
        <w:t>5、《中国药典》2000</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5"/>
          <w:w w:val="100"/>
        </w:rPr>
        <w:t>年版附录。</w:t>
      </w:r>
    </w:p>
    <w:p w:rsidR="005A76FB" w:rsidRDefault="005A76FB" w:rsidP="005A76FB">
      <w:pPr>
        <w:spacing w:before="0" w:after="0" w:lineRule="exact" w:line="240"/>
        <w:ind w:firstLine="560" w:left="66"/>
        <w:rPr/>
      </w:pPr>
    </w:p>
    <w:p w:rsidR="005A76FB" w:rsidRDefault="005A76FB" w:rsidP="005A76FB">
      <w:pPr>
        <w:spacing w:before="0" w:after="0" w:line="384" w:lineRule="exact"/>
        <w:ind w:firstLine="560" w:left="66"/>
        <w:jc w:val="left"/>
        <w:rPr/>
      </w:pPr>
      <w:r>
        <w:rPr>
          <w:rFonts w:ascii="Arial" w:hAnsi="Arial" w:cs="Arial"/>
          <w:u w:val="none"/>
          <w:sz w:val="28"/>
          <w:position w:val="0"/>
          <w:color w:val="000000"/>
          <w:noProof w:val="true"/>
          <w:spacing w:val="-28"/>
          <w:w w:val="100"/>
        </w:rPr>
        <w:t>6</w:t>
      </w:r>
      <w:r>
        <w:rPr>
          <w:rFonts w:ascii="宋体" w:hAnsi="宋体" w:cs="宋体"/>
          <w:u w:val="none"/>
          <w:sz w:val="28"/>
          <w:position w:val="0"/>
          <w:color w:val="000000"/>
          <w:noProof w:val="true"/>
          <w:spacing w:val="-10"/>
          <w:w w:val="100"/>
        </w:rPr>
        <w:t>、Guidance</w:t>
      </w:r>
      <w:r>
        <w:rPr>
          <w:rFonts w:ascii="Calibri" w:hAnsi="Calibri" w:cs="Calibri"/>
          <w:u w:val="none"/>
          <w:sz w:val="28"/>
          <w:color w:val="000000"/>
          <w:noProof w:val="true"/>
          <w:spacing w:val="0"/>
          <w:w w:val="234"/>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0"/>
          <w:w w:val="237"/>
        </w:rPr>
        <w:t> </w:t>
      </w:r>
      <w:r>
        <w:rPr>
          <w:rFonts w:ascii="Arial" w:hAnsi="Arial" w:cs="Arial"/>
          <w:u w:val="none"/>
          <w:sz w:val="28"/>
          <w:position w:val="0"/>
          <w:color w:val="000000"/>
          <w:noProof w:val="true"/>
          <w:spacing w:val="-13"/>
          <w:w w:val="100"/>
        </w:rPr>
        <w:t>Industry</w:t>
      </w:r>
      <w:r>
        <w:rPr>
          <w:rFonts w:ascii="Calibri" w:hAnsi="Calibri" w:cs="Calibri"/>
          <w:u w:val="none"/>
          <w:sz w:val="28"/>
          <w:color w:val="000000"/>
          <w:noProof w:val="true"/>
          <w:spacing w:val="0"/>
          <w:w w:val="234"/>
        </w:rPr>
        <w:t> </w:t>
      </w:r>
      <w:r>
        <w:rPr>
          <w:rFonts w:ascii="Arial" w:hAnsi="Arial" w:cs="Arial"/>
          <w:u w:val="none"/>
          <w:sz w:val="28"/>
          <w:position w:val="0"/>
          <w:color w:val="000000"/>
          <w:noProof w:val="true"/>
          <w:spacing w:val="-11"/>
          <w:w w:val="100"/>
        </w:rPr>
        <w:t>Drug</w:t>
      </w:r>
      <w:r>
        <w:rPr>
          <w:rFonts w:ascii="Calibri" w:hAnsi="Calibri" w:cs="Calibri"/>
          <w:u w:val="none"/>
          <w:sz w:val="28"/>
          <w:color w:val="000000"/>
          <w:noProof w:val="true"/>
          <w:spacing w:val="0"/>
          <w:w w:val="235"/>
        </w:rPr>
        <w:t> </w:t>
      </w:r>
      <w:r>
        <w:rPr>
          <w:rFonts w:ascii="Arial" w:hAnsi="Arial" w:cs="Arial"/>
          <w:u w:val="none"/>
          <w:sz w:val="28"/>
          <w:position w:val="0"/>
          <w:color w:val="000000"/>
          <w:noProof w:val="true"/>
          <w:spacing w:val="-17"/>
          <w:w w:val="100"/>
        </w:rPr>
        <w:t>Product.</w:t>
      </w:r>
      <w:r>
        <w:rPr>
          <w:rFonts w:ascii="Calibri" w:hAnsi="Calibri" w:cs="Calibri"/>
          <w:u w:val="none"/>
          <w:sz w:val="28"/>
          <w:color w:val="000000"/>
          <w:noProof w:val="true"/>
          <w:spacing w:val="0"/>
          <w:w w:val="234"/>
        </w:rPr>
        <w:t> </w:t>
      </w:r>
      <w:r>
        <w:rPr>
          <w:rFonts w:ascii="Arial" w:hAnsi="Arial" w:cs="Arial"/>
          <w:u w:val="none"/>
          <w:sz w:val="28"/>
          <w:position w:val="0"/>
          <w:color w:val="000000"/>
          <w:noProof w:val="true"/>
          <w:spacing w:val="-19"/>
          <w:w w:val="100"/>
        </w:rPr>
        <w:t>Chemistry,</w:t>
      </w:r>
      <w:r>
        <w:rPr>
          <w:rFonts w:ascii="Calibri" w:hAnsi="Calibri" w:cs="Calibri"/>
          <w:u w:val="none"/>
          <w:sz w:val="28"/>
          <w:color w:val="000000"/>
          <w:noProof w:val="true"/>
          <w:spacing w:val="0"/>
          <w:w w:val="234"/>
        </w:rPr>
        <w:t> </w:t>
      </w:r>
      <w:r>
        <w:rPr>
          <w:rFonts w:ascii="Arial" w:hAnsi="Arial" w:cs="Arial"/>
          <w:u w:val="none"/>
          <w:sz w:val="28"/>
          <w:position w:val="0"/>
          <w:color w:val="000000"/>
          <w:noProof w:val="true"/>
          <w:spacing w:val="-17"/>
          <w:w w:val="100"/>
        </w:rPr>
        <w:t>Manufacturing,</w:t>
      </w:r>
      <w:r>
        <w:rPr>
          <w:rFonts w:ascii="Calibri" w:hAnsi="Calibri" w:cs="Calibri"/>
          <w:u w:val="none"/>
          <w:sz w:val="28"/>
          <w:color w:val="000000"/>
          <w:noProof w:val="true"/>
          <w:spacing w:val="0"/>
          <w:w w:val="247"/>
        </w:rPr>
        <w:t> </w:t>
      </w:r>
      <w:r>
        <w:rPr>
          <w:rFonts w:ascii="Arial" w:hAnsi="Arial" w:cs="Arial"/>
          <w:u w:val="none"/>
          <w:sz w:val="28"/>
          <w:position w:val="0"/>
          <w:color w:val="000000"/>
          <w:noProof w:val="true"/>
          <w:spacing w:val="-27"/>
          <w:w w:val="100"/>
        </w:rPr>
        <w:t>and</w:t>
      </w:r>
    </w:p>
    <w:p w:rsidR="005A76FB" w:rsidRDefault="005A76FB" w:rsidP="005A76FB">
      <w:pPr>
        <w:spacing w:before="0" w:after="0" w:lineRule="exact" w:line="240"/>
        <w:ind w:firstLine="560" w:left="66"/>
        <w:rPr/>
      </w:pPr>
    </w:p>
    <w:p w:rsidR="005A76FB" w:rsidRDefault="005A76FB" w:rsidP="005A76FB">
      <w:pPr>
        <w:tabs>
          <w:tab w:val="left" w:pos="2749"/>
        </w:tabs>
        <w:spacing w:before="0" w:after="0" w:line="384" w:lineRule="exact"/>
        <w:ind w:firstLine="0" w:left="66"/>
        <w:jc w:val="left"/>
        <w:rPr/>
      </w:pPr>
      <w:r>
        <w:rPr>
          <w:rFonts w:ascii="Arial" w:hAnsi="Arial" w:cs="Arial"/>
          <w:u w:val="none"/>
          <w:sz w:val="28"/>
          <w:position w:val="0"/>
          <w:color w:val="000000"/>
          <w:noProof w:val="true"/>
          <w:spacing w:val="-15"/>
          <w:w w:val="100"/>
        </w:rPr>
        <w:t>Controls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0"/>
          <w:w w:val="100"/>
        </w:rPr>
        <w:t>Information.</w:t>
      </w:r>
      <w:r>
        <w:rPr>
          <w:rFonts w:cs="Calibri"/>
          <w:w w:val="100"/>
        </w:rPr>
        <w:tab/>
      </w:r>
      <w:r>
        <w:rPr>
          <w:rFonts w:ascii="Arial" w:hAnsi="Arial" w:cs="Arial"/>
          <w:u w:val="none"/>
          <w:sz w:val="28"/>
          <w:position w:val="0"/>
          <w:color w:val="000000"/>
          <w:noProof w:val="true"/>
          <w:spacing w:val="-3"/>
          <w:w w:val="100"/>
        </w:rPr>
        <w:t>FDA</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9"/>
          <w:w w:val="100"/>
        </w:rPr>
        <w:t>January</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8"/>
          <w:w w:val="100"/>
        </w:rPr>
        <w:t>2003</w:t>
      </w:r>
    </w:p>
    <w:p w:rsidR="005A76FB" w:rsidRDefault="005A76FB" w:rsidP="005A76FB">
      <w:pPr>
        <w:widowControl/>
        <w:jc w:val="left"/>
        <w:rPr/>
        <w:sectPr w:rsidR="005A76FB" w:rsidSect="005A76FB">
          <w:type w:val="continuous"/>
          <w:pgSz w:w="11900" w:h="16840"/>
          <w:pgMar w:top="795" w:right="992" w:bottom="555" w:left="1352" w:header="0" w:footer="0" w:gutter="0"/>
          <w:cols w:num="1" w:equalWidth="0">
            <w:col w:w="9556" w:space="0"/>
          </w:cols>
          <w:docGrid w:type="lines" w:linePitch="312"/>
        </w:sectPr>
      </w:pPr>
    </w:p>
    <w:p w:rsidR="005A76FB" w:rsidRDefault="005A76FB" w:rsidP="005A76FB">
      <w:pPr>
        <w:spacing w:before="0" w:after="0" w:lineRule="exact" w:line="260"/>
        <w:ind w:firstLine="0" w:left="66"/>
        <w:rPr/>
      </w:pPr>
    </w:p>
    <w:p w:rsidR="005A76FB" w:rsidRDefault="005A76FB" w:rsidP="005A76FB">
      <w:pPr>
        <w:widowControl/>
        <w:jc w:val="left"/>
        <w:rPr/>
        <w:sectPr w:rsidR="005A76FB" w:rsidSect="005A76FB">
          <w:type w:val="continuous"/>
          <w:pgSz w:w="11900" w:h="16840"/>
          <w:pgMar w:top="795" w:right="992" w:bottom="555" w:left="1352" w:header="0" w:footer="0" w:gutter="0"/>
          <w:docGrid w:type="lines" w:linePitch="312"/>
        </w:sectPr>
      </w:pPr>
    </w:p>
    <w:p w:rsidR="005A76FB" w:rsidRDefault="005A76FB" w:rsidP="005A76FB">
      <w:pPr>
        <w:spacing w:before="0" w:after="0" w:line="364" w:lineRule="exact"/>
        <w:ind w:firstLine="0" w:left="627"/>
        <w:jc w:val="left"/>
        <w:rPr/>
      </w:pPr>
      <w:r>
        <w:rPr>
          <w:rFonts w:ascii="宋体" w:hAnsi="宋体" w:cs="宋体"/>
          <w:u w:val="none"/>
          <w:sz w:val="28"/>
          <w:position w:val="0"/>
          <w:color w:val="000000"/>
          <w:noProof w:val="true"/>
          <w:spacing w:val="0"/>
          <w:w w:val="78"/>
        </w:rPr>
        <w:t>7、Plastic</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9"/>
          <w:w w:val="100"/>
        </w:rPr>
        <w:t>Primary</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7"/>
          <w:w w:val="100"/>
        </w:rPr>
        <w:t>Packaging</w:t>
      </w:r>
      <w:r>
        <w:rPr>
          <w:rFonts w:ascii="Calibri" w:hAnsi="Calibri" w:cs="Calibri"/>
          <w:u w:val="none"/>
          <w:sz w:val="28"/>
          <w:color w:val="000000"/>
          <w:noProof w:val="true"/>
          <w:spacing w:val="8"/>
          <w:w w:val="100"/>
        </w:rPr>
        <w:t> </w:t>
      </w:r>
      <w:r>
        <w:rPr>
          <w:rFonts w:ascii="Arial" w:hAnsi="Arial" w:cs="Arial"/>
          <w:u w:val="none"/>
          <w:sz w:val="28"/>
          <w:position w:val="0"/>
          <w:color w:val="000000"/>
          <w:noProof w:val="true"/>
          <w:spacing w:val="-19"/>
          <w:w w:val="100"/>
        </w:rPr>
        <w:t>Materials.</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5"/>
          <w:w w:val="100"/>
        </w:rPr>
        <w:t>EMEA</w:t>
      </w:r>
      <w:r>
        <w:rPr>
          <w:rFonts w:ascii="Calibri" w:hAnsi="Calibri" w:cs="Calibri"/>
          <w:u w:val="none"/>
          <w:sz w:val="28"/>
          <w:color w:val="000000"/>
          <w:noProof w:val="true"/>
          <w:spacing w:val="4"/>
          <w:w w:val="100"/>
        </w:rPr>
        <w:t> </w:t>
      </w:r>
      <w:r w:rsidRPr="00B3349A">
        <w:rPr/>
        <w:lastRenderedPageBreak/>
        <w:t/>
      </w:r>
      <w:r>
        <w:rPr>
          <w:rFonts w:ascii="Arial" w:hAnsi="Arial" w:cs="Arial"/>
          <w:u w:val="none"/>
          <w:sz w:val="28"/>
          <w:position w:val="0"/>
          <w:color w:val="000000"/>
          <w:noProof w:val="true"/>
          <w:spacing w:val="-24"/>
          <w:w w:val="100"/>
        </w:rPr>
        <w:t>3AQ10a,1994</w:t>
      </w:r>
    </w:p>
    <w:p w:rsidR="005A76FB" w:rsidRDefault="005A76FB" w:rsidP="005A76FB">
      <w:pPr>
        <w:widowControl/>
        <w:jc w:val="left"/>
        <w:rPr/>
        <w:sectPr w:rsidR="005A76FB" w:rsidSect="005A76FB">
          <w:type w:val="continuous"/>
          <w:pgSz w:w="11900" w:h="16840"/>
          <w:pgMar w:top="795" w:right="992" w:bottom="555" w:left="1352" w:header="0" w:footer="0" w:gutter="0"/>
          <w:cols w:num="2" w:equalWidth="0">
            <w:col w:w="5218" w:space="0"/>
            <w:col w:w="433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2" w:bottom="555" w:left="1352" w:header="0" w:footer="0" w:gutter="0"/>
          <w:docGrid w:type="lines" w:linePitch="312"/>
        </w:sectPr>
      </w:pPr>
    </w:p>
    <w:p w:rsidR="005A76FB" w:rsidRDefault="005A76FB" w:rsidP="005A76FB">
      <w:pPr>
        <w:spacing w:before="0" w:after="0" w:line="364" w:lineRule="exact"/>
        <w:ind w:firstLine="0" w:left="627"/>
        <w:jc w:val="left"/>
        <w:rPr/>
      </w:pPr>
      <w:r>
        <w:rPr>
          <w:rFonts w:ascii="宋体" w:hAnsi="宋体" w:cs="宋体"/>
          <w:u w:val="none"/>
          <w:sz w:val="28"/>
          <w:position w:val="0"/>
          <w:color w:val="000000"/>
          <w:noProof w:val="true"/>
          <w:spacing w:val="-9"/>
          <w:w w:val="100"/>
        </w:rPr>
        <w:t>8、直接接触药品包装材料和容器标准汇编</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国家药品监督管理局</w:t>
      </w:r>
      <w:r>
        <w:rPr>
          <w:rFonts w:ascii="Calibri" w:hAnsi="Calibri" w:cs="Calibri"/>
          <w:u w:val="none"/>
          <w:sz w:val="28"/>
          <w:color w:val="000000"/>
          <w:noProof w:val="true"/>
          <w:spacing w:val="5"/>
          <w:w w:val="100"/>
        </w:rPr>
        <w:t> </w:t>
      </w:r>
      <w:r w:rsidRPr="00B3349A">
        <w:rPr/>
        <w:lastRenderedPageBreak/>
        <w:t/>
      </w:r>
      <w:r>
        <w:rPr>
          <w:rFonts w:ascii="Arial" w:hAnsi="Arial" w:cs="Arial"/>
          <w:u w:val="none"/>
          <w:sz w:val="28"/>
          <w:position w:val="0"/>
          <w:color w:val="000000"/>
          <w:noProof w:val="true"/>
          <w:spacing w:val="-27"/>
          <w:w w:val="100"/>
        </w:rPr>
        <w:t>2002</w:t>
      </w:r>
    </w:p>
    <w:p w:rsidR="005A76FB" w:rsidRDefault="005A76FB" w:rsidP="005A76FB">
      <w:pPr>
        <w:widowControl/>
        <w:jc w:val="left"/>
        <w:rPr/>
        <w:sectPr w:rsidR="005A76FB" w:rsidSect="005A76FB">
          <w:type w:val="continuous"/>
          <w:pgSz w:w="11900" w:h="16840"/>
          <w:pgMar w:top="795" w:right="992" w:bottom="555" w:left="1352" w:header="0" w:footer="0" w:gutter="0"/>
          <w:cols w:num="2" w:equalWidth="0">
            <w:col w:w="6020" w:space="0"/>
            <w:col w:w="3536"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2" w:bottom="555" w:left="1352" w:header="0" w:footer="0" w:gutter="0"/>
          <w:docGrid w:type="lines" w:linePitch="312"/>
        </w:sectPr>
      </w:pPr>
    </w:p>
    <w:p w:rsidR="005A76FB" w:rsidRDefault="005A76FB" w:rsidP="005A76FB">
      <w:pPr>
        <w:spacing w:before="0" w:after="0" w:line="364" w:lineRule="exact"/>
        <w:ind w:firstLine="0" w:left="66"/>
        <w:jc w:val="left"/>
        <w:rPr/>
      </w:pPr>
      <w:r>
        <w:rPr>
          <w:rFonts w:ascii="宋体" w:eastAsia="宋体" w:hAnsi="宋体" w:cs="宋体"/>
          <w:u w:val="none"/>
          <w:sz w:val="28"/>
          <w:position w:val="0"/>
          <w:color w:val="000000"/>
          <w:noProof w:val="true"/>
          <w:spacing w:val="-6"/>
          <w:w w:val="100"/>
        </w:rPr>
        <w:t>年</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7"/>
          <w:w w:val="100"/>
        </w:rPr>
        <w:t>12</w:t>
      </w:r>
      <w:r>
        <w:rPr>
          <w:rFonts w:ascii="Calibri" w:hAnsi="Calibri" w:cs="Calibri"/>
          <w:u w:val="none"/>
          <w:sz w:val="28"/>
          <w:color w:val="000000"/>
          <w:noProof w:val="true"/>
          <w:spacing w:val="4"/>
          <w:w w:val="100"/>
        </w:rPr>
        <w:t> </w:t>
      </w:r>
      <w:r>
        <w:rPr>
          <w:rFonts w:ascii="宋体" w:eastAsia="宋体" w:hAnsi="宋体" w:cs="宋体"/>
          <w:u w:val="none"/>
          <w:sz w:val="28"/>
          <w:position w:val="0"/>
          <w:color w:val="000000"/>
          <w:noProof w:val="true"/>
          <w:spacing w:val="-6"/>
          <w:w w:val="100"/>
        </w:rPr>
        <w:t>月</w:t>
      </w:r>
    </w:p>
    <w:p w:rsidR="005A76FB" w:rsidRDefault="005A76FB" w:rsidP="005A76FB">
      <w:pPr>
        <w:spacing w:before="0" w:after="0" w:lineRule="exact" w:line="240"/>
        <w:ind w:firstLine="0" w:left="66"/>
        <w:rPr/>
      </w:pPr>
    </w:p>
    <w:p w:rsidR="005A76FB" w:rsidRDefault="005A76FB" w:rsidP="005A76FB">
      <w:pPr>
        <w:spacing w:before="0" w:after="0" w:line="384" w:lineRule="exact"/>
        <w:ind w:firstLine="560" w:left="66"/>
        <w:jc w:val="left"/>
        <w:rPr/>
      </w:pPr>
      <w:r>
        <w:rPr>
          <w:rFonts w:ascii="宋体" w:hAnsi="宋体" w:cs="宋体"/>
          <w:u w:val="none"/>
          <w:sz w:val="28"/>
          <w:position w:val="0"/>
          <w:color w:val="000000"/>
          <w:noProof w:val="true"/>
          <w:spacing w:val="-6"/>
          <w:w w:val="100"/>
        </w:rPr>
        <w:t>9、药剂学（第四版）</w:t>
      </w:r>
      <w:r>
        <w:rPr>
          <w:rFonts w:ascii="Calibri" w:hAnsi="Calibri" w:cs="Calibri"/>
          <w:u w:val="none"/>
          <w:sz w:val="28"/>
          <w:color w:val="000000"/>
          <w:noProof w:val="true"/>
          <w:spacing w:val="0"/>
          <w:w w:val="218"/>
        </w:rPr>
        <w:t> </w:t>
      </w:r>
      <w:r>
        <w:rPr>
          <w:rFonts w:ascii="宋体" w:eastAsia="宋体" w:hAnsi="宋体" w:cs="宋体"/>
          <w:u w:val="none"/>
          <w:sz w:val="28"/>
          <w:position w:val="0"/>
          <w:color w:val="000000"/>
          <w:noProof w:val="true"/>
          <w:spacing w:val="-7"/>
          <w:w w:val="100"/>
        </w:rPr>
        <w:t>毕殿洲主编，人民卫生出版社，2002</w:t>
      </w:r>
      <w:r>
        <w:rPr>
          <w:rFonts w:ascii="Calibri" w:hAnsi="Calibri" w:cs="Calibri"/>
          <w:u w:val="none"/>
          <w:sz w:val="28"/>
          <w:color w:val="000000"/>
          <w:noProof w:val="true"/>
          <w:spacing w:val="5"/>
          <w:w w:val="100"/>
        </w:rPr>
        <w:t> </w:t>
      </w:r>
      <w:r>
        <w:rPr>
          <w:rFonts w:ascii="宋体" w:eastAsia="宋体" w:hAnsi="宋体" w:cs="宋体"/>
          <w:u w:val="none"/>
          <w:sz w:val="28"/>
          <w:position w:val="0"/>
          <w:color w:val="000000"/>
          <w:noProof w:val="true"/>
          <w:spacing w:val="-6"/>
          <w:w w:val="100"/>
        </w:rPr>
        <w:t>年</w:t>
      </w:r>
    </w:p>
    <w:p w:rsidR="005A76FB" w:rsidRDefault="005A76FB" w:rsidP="005A76FB">
      <w:pPr>
        <w:spacing w:before="0" w:after="0" w:lineRule="exact" w:line="233"/>
        <w:ind w:firstLine="560" w:left="66"/>
        <w:rPr/>
      </w:pPr>
    </w:p>
    <w:p w:rsidR="005A76FB" w:rsidRDefault="005A76FB" w:rsidP="005A76FB">
      <w:pPr>
        <w:spacing w:before="0" w:after="0" w:line="417" w:lineRule="exact"/>
        <w:ind w:firstLine="0" w:left="66"/>
        <w:jc w:val="left"/>
        <w:rPr/>
      </w:pPr>
      <w:r>
        <w:rPr>
          <w:rFonts w:ascii="宋体" w:hAnsi="宋体" w:cs="宋体"/>
          <w:u w:val="none"/>
          <w:sz w:val="32"/>
          <w:position w:val="0"/>
          <w:color w:val="000000"/>
          <w:noProof w:val="true"/>
          <w:spacing w:val="-5"/>
          <w:w w:val="100"/>
        </w:rPr>
        <w:t>十、著者</w:t>
      </w:r>
    </w:p>
    <w:p w:rsidR="005A76FB" w:rsidRDefault="005A76FB" w:rsidP="005A76FB">
      <w:pPr>
        <w:spacing w:before="0" w:after="0" w:lineRule="exact" w:line="234"/>
        <w:ind w:firstLine="0" w:left="66"/>
        <w:rPr/>
      </w:pPr>
    </w:p>
    <w:p w:rsidR="005A76FB" w:rsidRDefault="005A76FB" w:rsidP="005A76FB">
      <w:pPr>
        <w:spacing w:before="0" w:after="0" w:line="364" w:lineRule="exact"/>
        <w:ind w:firstLine="420" w:left="66"/>
        <w:jc w:val="left"/>
        <w:rPr/>
      </w:pPr>
      <w:r>
        <w:rPr>
          <w:rFonts w:ascii="宋体" w:hAnsi="宋体" w:cs="宋体"/>
          <w:u w:val="none"/>
          <w:sz w:val="28"/>
          <w:position w:val="0"/>
          <w:color w:val="000000"/>
          <w:noProof w:val="true"/>
          <w:spacing w:val="-5"/>
          <w:w w:val="100"/>
        </w:rPr>
        <w:t>《化学药物制剂研究基本技术指导原则》课题研究组</w:t>
      </w:r>
    </w:p>
    <w:p w:rsidR="005A76FB" w:rsidRDefault="005A76FB" w:rsidP="005A76FB">
      <w:pPr>
        <w:widowControl/>
        <w:jc w:val="left"/>
        <w:rPr/>
        <w:sectPr w:rsidR="005A76FB" w:rsidSect="005A76FB">
          <w:type w:val="continuous"/>
          <w:pgSz w:w="11900" w:h="16840"/>
          <w:pgMar w:top="795" w:right="992" w:bottom="555" w:left="1352" w:header="0" w:footer="0" w:gutter="0"/>
          <w:cols w:num="1" w:equalWidth="0">
            <w:col w:w="9556" w:space="0"/>
          </w:cols>
          <w:docGrid w:type="lines" w:linePitch="312"/>
        </w:sect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240"/>
        <w:ind w:firstLine="420" w:left="66"/>
        <w:rPr/>
      </w:pPr>
    </w:p>
    <w:p w:rsidR="005A76FB" w:rsidRDefault="005A76FB" w:rsidP="005A76FB">
      <w:pPr>
        <w:spacing w:before="0" w:after="0" w:lineRule="exact" w:line="390"/>
        <w:ind w:firstLine="420" w:left="66"/>
        <w:rPr/>
      </w:pPr>
    </w:p>
    <w:p w:rsidR="005A76FB" w:rsidRDefault="005A76FB" w:rsidP="005A76FB">
      <w:pPr>
        <w:widowControl/>
        <w:jc w:val="left"/>
        <w:rPr/>
        <w:sectPr w:rsidR="005A76FB" w:rsidSect="005A76FB">
          <w:type w:val="continuous"/>
          <w:pgSz w:w="11900" w:h="16840"/>
          <w:pgMar w:top="795" w:right="992" w:bottom="555" w:left="1352" w:header="0" w:footer="0" w:gutter="0"/>
          <w:docGrid w:type="lines" w:linePitch="312"/>
        </w:sectPr>
      </w:pPr>
    </w:p>
    <w:p w:rsidR="005A76FB" w:rsidRDefault="005A76FB" w:rsidP="005A76FB">
      <w:pPr>
        <w:spacing w:before="0" w:after="0" w:line="232" w:lineRule="exact"/>
        <w:ind w:firstLine="0" w:left="4496"/>
        <w:jc w:val="left"/>
        <w:rPr/>
      </w:pPr>
      <w:r>
        <w:rPr>
          <w:rFonts w:ascii="Times New Roman" w:hAnsi="Times New Roman" w:cs="Times New Roman"/>
          <w:u w:val="none"/>
          <w:sz w:val="21"/>
          <w:position w:val="0"/>
          <w:color w:val="000000"/>
          <w:noProof w:val="true"/>
          <w:spacing w:val="-3"/>
          <w:w w:val="100"/>
        </w:rPr>
        <w:t>16</w:t>
      </w:r>
    </w:p>
    <w:sectPr w:rsidR="005A76FB" w:rsidSect="005A76FB">
      <w:type w:val="continuous"/>
      <w:pgSz w:w="11900" w:h="16840"/>
      <w:pgMar w:top="795" w:right="992" w:bottom="555" w:left="1352" w:header="0" w:footer="0" w:gutter="0"/>
      <w:cols w:num="1" w:equalWidth="0">
        <w:col w:w="9556"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