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080" w:firstLineChars="1700"/>
        <w:rPr>
          <w:rFonts w:ascii="微软雅黑" w:hAnsi="微软雅黑" w:eastAsia="微软雅黑" w:cs="Arial"/>
          <w:color w:val="000000"/>
          <w:sz w:val="24"/>
          <w:szCs w:val="24"/>
        </w:rPr>
      </w:pPr>
      <w:r>
        <w:rPr>
          <w:rFonts w:hint="eastAsia" w:ascii="微软雅黑" w:hAnsi="微软雅黑" w:eastAsia="微软雅黑" w:cs="Arial"/>
          <w:color w:val="000000"/>
          <w:sz w:val="24"/>
          <w:szCs w:val="24"/>
        </w:rPr>
        <w:t>一</w:t>
      </w:r>
    </w:p>
    <w:p>
      <w:pPr>
        <w:jc w:val="center"/>
        <w:rPr>
          <w:rFonts w:ascii="微软雅黑" w:hAnsi="微软雅黑" w:eastAsia="微软雅黑" w:cs="Arial"/>
          <w:color w:val="FFFFFF"/>
          <w:sz w:val="24"/>
          <w:szCs w:val="24"/>
        </w:rPr>
      </w:pPr>
      <w:r>
        <w:rPr>
          <w:rFonts w:hint="eastAsia" w:ascii="微软雅黑" w:hAnsi="微软雅黑" w:eastAsia="微软雅黑" w:cs="Arial"/>
          <w:color w:val="000000"/>
          <w:sz w:val="24"/>
          <w:szCs w:val="24"/>
        </w:rPr>
        <w:t>关于前景</w:t>
      </w:r>
    </w:p>
    <w:p>
      <w:pPr>
        <w:ind w:firstLine="480" w:firstLineChars="200"/>
        <w:rPr>
          <w:rFonts w:ascii="微软雅黑" w:hAnsi="微软雅黑" w:eastAsia="微软雅黑" w:cs="Arial"/>
          <w:color w:val="FFFFFF"/>
          <w:sz w:val="24"/>
          <w:szCs w:val="24"/>
        </w:rPr>
      </w:pPr>
      <w:r>
        <w:rPr>
          <w:rFonts w:hint="eastAsia" w:ascii="微软雅黑" w:hAnsi="微软雅黑" w:eastAsia="微软雅黑" w:cs="Arial"/>
          <w:color w:val="000000"/>
          <w:sz w:val="24"/>
          <w:szCs w:val="24"/>
        </w:rPr>
        <w:t>2015年7月22日</w:t>
      </w:r>
      <w:r>
        <w:rPr>
          <w:rFonts w:ascii="微软雅黑" w:hAnsi="微软雅黑" w:eastAsia="微软雅黑" w:cs="Arial"/>
          <w:color w:val="000000"/>
          <w:sz w:val="24"/>
          <w:szCs w:val="24"/>
        </w:rPr>
        <w:t>国家总局发布《关于开展药物临床试验数据自查核查工作的公告》，标志着被称为“史上最严”的药物临床试验数据核查全面启动</w:t>
      </w:r>
      <w:r>
        <w:rPr>
          <w:rFonts w:hint="eastAsia" w:ascii="微软雅黑" w:hAnsi="微软雅黑" w:eastAsia="微软雅黑" w:cs="Arial"/>
          <w:color w:val="000000"/>
          <w:sz w:val="24"/>
          <w:szCs w:val="24"/>
        </w:rPr>
        <w:t>，国务院明确指出加快仿制药一致性评价后，CFDA随即出台一些列配套政策，2018年底前要完成基药目录289个品种的一致性评价，没有通过的将注销批准文号，产品将面临下架。轻则丢失市场，重则影响生存！</w:t>
      </w:r>
    </w:p>
    <w:p>
      <w:pPr>
        <w:widowControl/>
        <w:ind w:firstLine="480" w:firstLineChars="200"/>
        <w:jc w:val="left"/>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目前</w:t>
      </w:r>
      <w:r>
        <w:rPr>
          <w:rFonts w:hint="eastAsia" w:ascii="微软雅黑" w:hAnsi="微软雅黑" w:eastAsia="微软雅黑" w:cs="Arial"/>
          <w:color w:val="000000"/>
          <w:kern w:val="0"/>
          <w:sz w:val="24"/>
          <w:szCs w:val="24"/>
        </w:rPr>
        <w:t>，</w:t>
      </w:r>
      <w:r>
        <w:rPr>
          <w:rFonts w:ascii="微软雅黑" w:hAnsi="微软雅黑" w:eastAsia="微软雅黑" w:cs="Arial"/>
          <w:color w:val="000000"/>
          <w:kern w:val="0"/>
          <w:sz w:val="24"/>
          <w:szCs w:val="24"/>
        </w:rPr>
        <w:t>生物等效性试验（BE）临床试验机构资源紧张</w:t>
      </w:r>
      <w:r>
        <w:rPr>
          <w:rFonts w:hint="eastAsia" w:ascii="微软雅黑" w:hAnsi="微软雅黑" w:eastAsia="微软雅黑" w:cs="Arial"/>
          <w:color w:val="000000"/>
          <w:kern w:val="0"/>
          <w:sz w:val="24"/>
          <w:szCs w:val="24"/>
        </w:rPr>
        <w:t>！</w:t>
      </w:r>
      <w:r>
        <w:rPr>
          <w:rFonts w:ascii="微软雅黑" w:hAnsi="微软雅黑" w:eastAsia="微软雅黑" w:cs="Arial"/>
          <w:color w:val="000000"/>
          <w:kern w:val="0"/>
          <w:sz w:val="24"/>
          <w:szCs w:val="24"/>
        </w:rPr>
        <w:t>截至2018年1月2日，一致性评价BE备案共计309条，而目前已通过一致性评价的仅有13个品种（17个品规）</w:t>
      </w:r>
      <w:r>
        <w:rPr>
          <w:rFonts w:hint="eastAsia" w:ascii="微软雅黑" w:hAnsi="微软雅黑" w:eastAsia="微软雅黑" w:cs="Arial"/>
          <w:color w:val="000000"/>
          <w:kern w:val="0"/>
          <w:sz w:val="24"/>
          <w:szCs w:val="24"/>
        </w:rPr>
        <w:t>，</w:t>
      </w:r>
      <w:r>
        <w:rPr>
          <w:rFonts w:ascii="微软雅黑" w:hAnsi="微软雅黑" w:eastAsia="微软雅黑" w:cs="Arial"/>
          <w:color w:val="000000"/>
          <w:kern w:val="0"/>
          <w:sz w:val="24"/>
          <w:szCs w:val="24"/>
        </w:rPr>
        <w:t>289个基药目录中仅有4个品种（4个品规）</w:t>
      </w:r>
      <w:r>
        <w:rPr>
          <w:rFonts w:hint="eastAsia" w:ascii="微软雅黑" w:hAnsi="微软雅黑" w:eastAsia="微软雅黑" w:cs="Arial"/>
          <w:color w:val="000000"/>
          <w:kern w:val="0"/>
          <w:sz w:val="24"/>
          <w:szCs w:val="24"/>
        </w:rPr>
        <w:t>！</w:t>
      </w:r>
    </w:p>
    <w:p>
      <w:pPr>
        <w:ind w:firstLine="480" w:firstLineChars="200"/>
        <w:rPr>
          <w:rFonts w:ascii="微软雅黑" w:hAnsi="微软雅黑" w:eastAsia="微软雅黑" w:cs="Arial"/>
          <w:color w:val="000000"/>
          <w:sz w:val="24"/>
          <w:szCs w:val="24"/>
        </w:rPr>
      </w:pPr>
      <w:r>
        <w:rPr>
          <w:rFonts w:hint="eastAsia" w:ascii="微软雅黑" w:hAnsi="微软雅黑" w:eastAsia="微软雅黑"/>
          <w:color w:val="000000"/>
          <w:sz w:val="24"/>
          <w:szCs w:val="24"/>
        </w:rPr>
        <w:t>一致性评价是由国家主导推进的一项长期而艰巨的工程，预计未来十年都会是国内制药行业的主旋律。制药企业作为一致性评价的责任主体，时间紧、任务重、成本高，与CRO公司以及临床试验合作机构尤为重要！无论对于制药企业、CRO公司或是临床试验合作机构而言都是</w:t>
      </w:r>
      <w:r>
        <w:rPr>
          <w:rFonts w:hint="eastAsia" w:ascii="微软雅黑" w:hAnsi="微软雅黑" w:eastAsia="微软雅黑" w:cs="Arial"/>
          <w:color w:val="000000"/>
          <w:sz w:val="24"/>
          <w:szCs w:val="24"/>
        </w:rPr>
        <w:t>挑战与机遇并存，谁能在同类品种中首先通过一致性评价，谁就会取得先发优势，抢占市场先机！</w:t>
      </w:r>
    </w:p>
    <w:p>
      <w:pPr>
        <w:widowControl/>
        <w:ind w:firstLine="480" w:firstLineChars="200"/>
        <w:jc w:val="left"/>
        <w:rPr>
          <w:rFonts w:ascii="微软雅黑" w:hAnsi="微软雅黑" w:eastAsia="微软雅黑" w:cs="Arial"/>
          <w:color w:val="000000"/>
          <w:kern w:val="0"/>
          <w:sz w:val="24"/>
          <w:szCs w:val="24"/>
        </w:rPr>
      </w:pPr>
      <w:r>
        <w:rPr>
          <w:rFonts w:ascii="微软雅黑" w:hAnsi="微软雅黑" w:eastAsia="微软雅黑" w:cs="Arial"/>
          <w:color w:val="000000"/>
          <w:sz w:val="24"/>
          <w:szCs w:val="24"/>
        </w:rPr>
        <w:t>国家加强对临床研究的监管，是行业规范发展的需要，是中国医药行业与世界接轨的必然</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将对规范药物研发和药物临床试验产生重大和深远的影响。未来</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规范的企业</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CRO行业</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临床试验机构</w:t>
      </w:r>
      <w:r>
        <w:rPr>
          <w:rFonts w:hint="eastAsia" w:ascii="微软雅黑" w:hAnsi="微软雅黑" w:eastAsia="微软雅黑" w:cs="Arial"/>
          <w:color w:val="000000"/>
          <w:sz w:val="24"/>
          <w:szCs w:val="24"/>
        </w:rPr>
        <w:t>，</w:t>
      </w:r>
      <w:r>
        <w:rPr>
          <w:rFonts w:ascii="微软雅黑" w:hAnsi="微软雅黑" w:eastAsia="微软雅黑" w:cs="Arial"/>
          <w:color w:val="000000"/>
          <w:sz w:val="24"/>
          <w:szCs w:val="24"/>
        </w:rPr>
        <w:t>将获得更大的发展空间，有更多发展机会</w:t>
      </w:r>
      <w:r>
        <w:rPr>
          <w:rFonts w:hint="eastAsia" w:ascii="微软雅黑" w:hAnsi="微软雅黑" w:eastAsia="微软雅黑" w:cs="Arial"/>
          <w:color w:val="000000"/>
          <w:sz w:val="24"/>
          <w:szCs w:val="24"/>
        </w:rPr>
        <w:t>，三方合作，互相支撑，互惠互利，服务社会，惠及百姓！</w:t>
      </w:r>
    </w:p>
    <w:p>
      <w:pPr>
        <w:rPr>
          <w:rFonts w:ascii="微软雅黑" w:hAnsi="微软雅黑" w:eastAsia="微软雅黑"/>
          <w:sz w:val="24"/>
          <w:szCs w:val="24"/>
        </w:rPr>
      </w:pPr>
    </w:p>
    <w:p>
      <w:pPr>
        <w:rPr>
          <w:rFonts w:ascii="微软雅黑" w:hAnsi="微软雅黑" w:eastAsia="微软雅黑"/>
          <w:sz w:val="24"/>
          <w:szCs w:val="24"/>
        </w:rPr>
      </w:pPr>
    </w:p>
    <w:p>
      <w:pPr>
        <w:jc w:val="center"/>
        <w:rPr>
          <w:rFonts w:hint="eastAsia" w:ascii="微软雅黑" w:hAnsi="微软雅黑" w:eastAsia="微软雅黑"/>
          <w:sz w:val="24"/>
          <w:szCs w:val="24"/>
        </w:rPr>
      </w:pPr>
    </w:p>
    <w:p>
      <w:pPr>
        <w:jc w:val="center"/>
        <w:rPr>
          <w:rFonts w:ascii="微软雅黑" w:hAnsi="微软雅黑" w:eastAsia="微软雅黑"/>
          <w:sz w:val="24"/>
          <w:szCs w:val="24"/>
        </w:rPr>
      </w:pPr>
      <w:r>
        <w:rPr>
          <w:rFonts w:hint="eastAsia" w:ascii="微软雅黑" w:hAnsi="微软雅黑" w:eastAsia="微软雅黑"/>
          <w:sz w:val="24"/>
          <w:szCs w:val="24"/>
        </w:rPr>
        <w:t>二</w:t>
      </w:r>
    </w:p>
    <w:p>
      <w:pPr>
        <w:jc w:val="center"/>
        <w:rPr>
          <w:rFonts w:ascii="微软雅黑" w:hAnsi="微软雅黑" w:eastAsia="微软雅黑"/>
          <w:sz w:val="24"/>
          <w:szCs w:val="24"/>
        </w:rPr>
      </w:pPr>
      <w:r>
        <w:rPr>
          <w:rFonts w:hint="eastAsia" w:ascii="微软雅黑" w:hAnsi="微软雅黑" w:eastAsia="微软雅黑"/>
          <w:sz w:val="24"/>
          <w:szCs w:val="24"/>
        </w:rPr>
        <w:t>关于药物临床试验机构资格认定</w:t>
      </w:r>
    </w:p>
    <w:p>
      <w:pPr>
        <w:rPr>
          <w:rFonts w:ascii="微软雅黑" w:hAnsi="微软雅黑" w:eastAsia="微软雅黑"/>
          <w:sz w:val="24"/>
          <w:szCs w:val="24"/>
        </w:rPr>
      </w:pPr>
      <w:r>
        <w:rPr>
          <w:rFonts w:hint="eastAsia" w:ascii="微软雅黑" w:hAnsi="微软雅黑" w:eastAsia="微软雅黑"/>
          <w:sz w:val="24"/>
          <w:szCs w:val="24"/>
        </w:rPr>
        <w:t>依据CFDA药物临床试验机构资格认定服务指南（2017-12-25）</w:t>
      </w:r>
    </w:p>
    <w:p>
      <w:pPr>
        <w:pStyle w:val="9"/>
        <w:rPr>
          <w:rFonts w:ascii="微软雅黑" w:hAnsi="微软雅黑" w:eastAsia="微软雅黑" w:cs="黑体"/>
          <w:color w:val="auto"/>
        </w:rPr>
      </w:pPr>
      <w:r>
        <w:rPr>
          <w:rFonts w:ascii="微软雅黑" w:hAnsi="微软雅黑" w:eastAsia="微软雅黑" w:cs="黑体"/>
          <w:color w:val="auto"/>
        </w:rPr>
        <w:t>一、适用范围</w:t>
      </w:r>
    </w:p>
    <w:p>
      <w:pPr>
        <w:pStyle w:val="9"/>
        <w:rPr>
          <w:rFonts w:ascii="微软雅黑" w:hAnsi="微软雅黑" w:eastAsia="微软雅黑" w:cs="宋体"/>
          <w:color w:val="auto"/>
        </w:rPr>
      </w:pPr>
      <w:r>
        <w:rPr>
          <w:rFonts w:hint="eastAsia" w:ascii="微软雅黑" w:hAnsi="微软雅黑" w:eastAsia="微软雅黑" w:cs="宋体"/>
          <w:color w:val="auto"/>
        </w:rPr>
        <w:t>本指南适用于药物临床试验机构资格认定的申请和办理。</w:t>
      </w:r>
    </w:p>
    <w:p>
      <w:pPr>
        <w:pStyle w:val="9"/>
        <w:rPr>
          <w:rFonts w:ascii="微软雅黑" w:hAnsi="微软雅黑" w:eastAsia="微软雅黑" w:cs="黑体"/>
          <w:color w:val="auto"/>
        </w:rPr>
      </w:pPr>
      <w:r>
        <w:rPr>
          <w:rFonts w:ascii="微软雅黑" w:hAnsi="微软雅黑" w:eastAsia="微软雅黑" w:cs="黑体"/>
          <w:color w:val="auto"/>
        </w:rPr>
        <w:t>二、项目信息</w:t>
      </w:r>
    </w:p>
    <w:p>
      <w:pPr>
        <w:pStyle w:val="9"/>
        <w:rPr>
          <w:rFonts w:ascii="微软雅黑" w:hAnsi="微软雅黑" w:eastAsia="微软雅黑" w:cs="宋体"/>
          <w:color w:val="auto"/>
        </w:rPr>
      </w:pPr>
      <w:r>
        <w:rPr>
          <w:rFonts w:hint="eastAsia" w:ascii="微软雅黑" w:hAnsi="微软雅黑" w:eastAsia="微软雅黑" w:cs="宋体"/>
          <w:color w:val="auto"/>
        </w:rPr>
        <w:t>（一）项目名称：药物临床试验机构资格认定</w:t>
      </w:r>
    </w:p>
    <w:p>
      <w:pPr>
        <w:pStyle w:val="9"/>
        <w:rPr>
          <w:rFonts w:ascii="微软雅黑" w:hAnsi="微软雅黑" w:eastAsia="微软雅黑" w:cs="宋体"/>
          <w:color w:val="auto"/>
        </w:rPr>
      </w:pPr>
      <w:r>
        <w:rPr>
          <w:rFonts w:hint="eastAsia" w:ascii="微软雅黑" w:hAnsi="微软雅黑" w:eastAsia="微软雅黑" w:cs="宋体"/>
          <w:color w:val="auto"/>
        </w:rPr>
        <w:t>（二）事项审查类型：前审后批</w:t>
      </w:r>
    </w:p>
    <w:p>
      <w:pPr>
        <w:pStyle w:val="9"/>
        <w:rPr>
          <w:rFonts w:ascii="微软雅黑" w:hAnsi="微软雅黑" w:eastAsia="微软雅黑" w:cs="Times New Roman"/>
          <w:color w:val="auto"/>
        </w:rPr>
      </w:pPr>
      <w:r>
        <w:rPr>
          <w:rFonts w:hint="eastAsia" w:ascii="微软雅黑" w:hAnsi="微软雅黑" w:eastAsia="微软雅黑" w:cs="宋体"/>
          <w:color w:val="auto"/>
        </w:rPr>
        <w:t>（三）项目编码：</w:t>
      </w:r>
      <w:r>
        <w:rPr>
          <w:rFonts w:ascii="微软雅黑" w:hAnsi="微软雅黑" w:eastAsia="微软雅黑" w:cs="Times New Roman"/>
          <w:color w:val="auto"/>
        </w:rPr>
        <w:t>30010</w:t>
      </w:r>
    </w:p>
    <w:p>
      <w:pPr>
        <w:pStyle w:val="9"/>
        <w:rPr>
          <w:rFonts w:ascii="微软雅黑" w:hAnsi="微软雅黑" w:eastAsia="微软雅黑" w:cs="黑体"/>
          <w:color w:val="auto"/>
        </w:rPr>
      </w:pPr>
      <w:r>
        <w:rPr>
          <w:rFonts w:ascii="微软雅黑" w:hAnsi="微软雅黑" w:eastAsia="微软雅黑" w:cs="黑体"/>
          <w:color w:val="auto"/>
        </w:rPr>
        <w:t>三、办理依据</w:t>
      </w:r>
    </w:p>
    <w:p>
      <w:pPr>
        <w:pStyle w:val="9"/>
        <w:rPr>
          <w:rFonts w:ascii="微软雅黑" w:hAnsi="微软雅黑" w:eastAsia="微软雅黑" w:cs="宋体"/>
          <w:color w:val="auto"/>
        </w:rPr>
      </w:pPr>
      <w:r>
        <w:rPr>
          <w:rFonts w:hint="eastAsia" w:ascii="微软雅黑" w:hAnsi="微软雅黑" w:eastAsia="微软雅黑" w:cs="宋体"/>
          <w:color w:val="auto"/>
        </w:rPr>
        <w:t>《中华人民共和国药品管理法》《药物临床试验质量管理规范》</w:t>
      </w:r>
    </w:p>
    <w:p>
      <w:pPr>
        <w:pStyle w:val="9"/>
        <w:rPr>
          <w:rFonts w:ascii="微软雅黑" w:hAnsi="微软雅黑" w:eastAsia="微软雅黑" w:cs="黑体"/>
          <w:color w:val="auto"/>
        </w:rPr>
      </w:pPr>
      <w:r>
        <w:rPr>
          <w:rFonts w:ascii="微软雅黑" w:hAnsi="微软雅黑" w:eastAsia="微软雅黑" w:cs="黑体"/>
          <w:color w:val="auto"/>
        </w:rPr>
        <w:t>四、受理机构</w:t>
      </w:r>
    </w:p>
    <w:p>
      <w:pPr>
        <w:pStyle w:val="9"/>
        <w:rPr>
          <w:rFonts w:ascii="微软雅黑" w:hAnsi="微软雅黑" w:eastAsia="微软雅黑" w:cs="宋体"/>
          <w:color w:val="auto"/>
        </w:rPr>
      </w:pPr>
      <w:r>
        <w:rPr>
          <w:rFonts w:hint="eastAsia" w:ascii="微软雅黑" w:hAnsi="微软雅黑" w:eastAsia="微软雅黑" w:cs="宋体"/>
          <w:color w:val="auto"/>
        </w:rPr>
        <w:t>国家食品药品监督管理总局食品药品审核查验中心（简称核查中心）</w:t>
      </w:r>
    </w:p>
    <w:p>
      <w:pPr>
        <w:pStyle w:val="9"/>
        <w:rPr>
          <w:rFonts w:ascii="微软雅黑" w:hAnsi="微软雅黑" w:eastAsia="微软雅黑" w:cs="黑体"/>
          <w:color w:val="auto"/>
        </w:rPr>
      </w:pPr>
      <w:r>
        <w:rPr>
          <w:rFonts w:ascii="微软雅黑" w:hAnsi="微软雅黑" w:eastAsia="微软雅黑" w:cs="黑体"/>
          <w:color w:val="auto"/>
        </w:rPr>
        <w:t>五、决定机构</w:t>
      </w:r>
    </w:p>
    <w:p>
      <w:pPr>
        <w:pStyle w:val="9"/>
        <w:rPr>
          <w:rFonts w:ascii="微软雅黑" w:hAnsi="微软雅黑" w:eastAsia="微软雅黑" w:cs="宋体"/>
          <w:color w:val="auto"/>
        </w:rPr>
      </w:pPr>
      <w:r>
        <w:rPr>
          <w:rFonts w:hint="eastAsia" w:ascii="微软雅黑" w:hAnsi="微软雅黑" w:eastAsia="微软雅黑" w:cs="宋体"/>
          <w:color w:val="auto"/>
        </w:rPr>
        <w:t>国家食品药品监督管理总局、国家卫生和计划生育委员会</w:t>
      </w:r>
    </w:p>
    <w:p>
      <w:pPr>
        <w:pStyle w:val="9"/>
        <w:rPr>
          <w:rFonts w:ascii="微软雅黑" w:hAnsi="微软雅黑" w:eastAsia="微软雅黑" w:cs="黑体"/>
          <w:color w:val="auto"/>
        </w:rPr>
      </w:pPr>
      <w:r>
        <w:rPr>
          <w:rFonts w:ascii="微软雅黑" w:hAnsi="微软雅黑" w:eastAsia="微软雅黑" w:cs="黑体"/>
          <w:color w:val="auto"/>
        </w:rPr>
        <w:t>六、审批数量</w:t>
      </w:r>
    </w:p>
    <w:p>
      <w:pPr>
        <w:pStyle w:val="9"/>
        <w:rPr>
          <w:rFonts w:ascii="微软雅黑" w:hAnsi="微软雅黑" w:eastAsia="微软雅黑" w:cs="宋体"/>
          <w:color w:val="auto"/>
        </w:rPr>
      </w:pPr>
      <w:r>
        <w:rPr>
          <w:rFonts w:hint="eastAsia" w:ascii="微软雅黑" w:hAnsi="微软雅黑" w:eastAsia="微软雅黑" w:cs="宋体"/>
          <w:color w:val="auto"/>
        </w:rPr>
        <w:t>无数量限制</w:t>
      </w:r>
    </w:p>
    <w:p>
      <w:pPr>
        <w:pStyle w:val="9"/>
        <w:rPr>
          <w:rFonts w:ascii="微软雅黑" w:hAnsi="微软雅黑" w:eastAsia="微软雅黑" w:cs="黑体"/>
          <w:b/>
          <w:color w:val="C00000"/>
        </w:rPr>
      </w:pPr>
      <w:r>
        <w:rPr>
          <w:rFonts w:ascii="微软雅黑" w:hAnsi="微软雅黑" w:eastAsia="微软雅黑" w:cs="黑体"/>
          <w:b/>
          <w:color w:val="C00000"/>
        </w:rPr>
        <w:t>七、申请条件</w:t>
      </w:r>
      <w:r>
        <w:rPr>
          <w:rFonts w:hint="eastAsia" w:ascii="微软雅黑" w:hAnsi="微软雅黑" w:eastAsia="微软雅黑" w:cs="黑体"/>
          <w:b/>
          <w:color w:val="C00000"/>
        </w:rPr>
        <w:t>！</w:t>
      </w:r>
    </w:p>
    <w:p>
      <w:pPr>
        <w:pStyle w:val="9"/>
        <w:rPr>
          <w:rFonts w:ascii="微软雅黑" w:hAnsi="微软雅黑" w:eastAsia="微软雅黑" w:cs="宋体"/>
          <w:b/>
          <w:color w:val="auto"/>
        </w:rPr>
      </w:pPr>
      <w:r>
        <w:rPr>
          <w:rFonts w:hint="eastAsia" w:ascii="微软雅黑" w:hAnsi="微软雅黑" w:eastAsia="微软雅黑" w:cs="宋体"/>
          <w:b/>
          <w:color w:val="auto"/>
        </w:rPr>
        <w:t>申请人条件：</w:t>
      </w:r>
    </w:p>
    <w:p>
      <w:pPr>
        <w:pStyle w:val="9"/>
        <w:rPr>
          <w:rFonts w:ascii="微软雅黑" w:hAnsi="微软雅黑" w:eastAsia="微软雅黑" w:cs="宋体"/>
          <w:b/>
          <w:color w:val="auto"/>
        </w:rPr>
      </w:pPr>
      <w:r>
        <w:rPr>
          <w:rFonts w:hint="eastAsia" w:ascii="微软雅黑" w:hAnsi="微软雅黑" w:eastAsia="微软雅黑" w:cs="宋体"/>
          <w:b/>
          <w:color w:val="auto"/>
        </w:rPr>
        <w:t>（一）已取得医疗机构执业许可；</w:t>
      </w:r>
    </w:p>
    <w:p>
      <w:pPr>
        <w:pStyle w:val="9"/>
        <w:rPr>
          <w:rFonts w:ascii="微软雅黑" w:hAnsi="微软雅黑" w:eastAsia="微软雅黑" w:cs="宋体"/>
          <w:b/>
          <w:color w:val="auto"/>
        </w:rPr>
      </w:pPr>
      <w:r>
        <w:rPr>
          <w:rFonts w:hint="eastAsia" w:ascii="微软雅黑" w:hAnsi="微软雅黑" w:eastAsia="微软雅黑" w:cs="宋体"/>
          <w:b/>
          <w:color w:val="auto"/>
        </w:rPr>
        <w:t>（二）申请资格认定的专业应与医疗机构执业许可诊疗科目一致；</w:t>
      </w:r>
    </w:p>
    <w:p>
      <w:pPr>
        <w:pStyle w:val="9"/>
        <w:rPr>
          <w:rFonts w:ascii="微软雅黑" w:hAnsi="微软雅黑" w:eastAsia="微软雅黑" w:cs="宋体"/>
          <w:b/>
          <w:color w:val="auto"/>
        </w:rPr>
      </w:pPr>
      <w:r>
        <w:rPr>
          <w:rFonts w:hint="eastAsia" w:ascii="微软雅黑" w:hAnsi="微软雅黑" w:eastAsia="微软雅黑" w:cs="宋体"/>
          <w:b/>
          <w:color w:val="auto"/>
        </w:rPr>
        <w:t>（三）具有与药物临床试验相适应的设备设施；</w:t>
      </w:r>
    </w:p>
    <w:p>
      <w:pPr>
        <w:pStyle w:val="9"/>
        <w:rPr>
          <w:rFonts w:ascii="微软雅黑" w:hAnsi="微软雅黑" w:eastAsia="微软雅黑" w:cs="宋体"/>
          <w:b/>
          <w:color w:val="auto"/>
        </w:rPr>
      </w:pPr>
      <w:r>
        <w:rPr>
          <w:rFonts w:hint="eastAsia" w:ascii="微软雅黑" w:hAnsi="微软雅黑" w:eastAsia="微软雅黑" w:cs="宋体"/>
          <w:b/>
          <w:color w:val="auto"/>
        </w:rPr>
        <w:t>（四）具有与承担药物临床试验相适应的诊疗技术能力；</w:t>
      </w:r>
    </w:p>
    <w:p>
      <w:pPr>
        <w:pStyle w:val="9"/>
        <w:rPr>
          <w:rFonts w:ascii="微软雅黑" w:hAnsi="微软雅黑" w:eastAsia="微软雅黑" w:cs="宋体"/>
          <w:b/>
          <w:color w:val="auto"/>
        </w:rPr>
      </w:pPr>
      <w:r>
        <w:rPr>
          <w:rFonts w:hint="eastAsia" w:ascii="微软雅黑" w:hAnsi="微软雅黑" w:eastAsia="微软雅黑" w:cs="宋体"/>
          <w:b/>
          <w:color w:val="auto"/>
        </w:rPr>
        <w:t>（五）具有与承担药物临床试验相适应的床位数和受试者人数；</w:t>
      </w:r>
    </w:p>
    <w:p>
      <w:pPr>
        <w:pStyle w:val="9"/>
        <w:rPr>
          <w:rFonts w:ascii="微软雅黑" w:hAnsi="微软雅黑" w:eastAsia="微软雅黑" w:cs="宋体"/>
          <w:b/>
          <w:color w:val="auto"/>
        </w:rPr>
      </w:pPr>
      <w:r>
        <w:rPr>
          <w:rFonts w:hint="eastAsia" w:ascii="微软雅黑" w:hAnsi="微软雅黑" w:eastAsia="微软雅黑" w:cs="宋体"/>
          <w:b/>
          <w:color w:val="auto"/>
        </w:rPr>
        <w:t>（六）具有承担药物临床试验的组织管理机构和人员；</w:t>
      </w:r>
    </w:p>
    <w:p>
      <w:pPr>
        <w:pStyle w:val="9"/>
        <w:rPr>
          <w:rFonts w:ascii="微软雅黑" w:hAnsi="微软雅黑" w:eastAsia="微软雅黑" w:cs="宋体"/>
          <w:b/>
          <w:color w:val="auto"/>
        </w:rPr>
      </w:pPr>
      <w:r>
        <w:rPr>
          <w:rFonts w:hint="eastAsia" w:ascii="微软雅黑" w:hAnsi="微软雅黑" w:eastAsia="微软雅黑" w:cs="宋体"/>
          <w:b/>
          <w:color w:val="auto"/>
        </w:rPr>
        <w:t>（七）具有能够承担药物临床试验的研究人员并经过药物临床试验技术与法规的培训；</w:t>
      </w:r>
    </w:p>
    <w:p>
      <w:pPr>
        <w:pStyle w:val="9"/>
        <w:rPr>
          <w:rFonts w:ascii="微软雅黑" w:hAnsi="微软雅黑" w:eastAsia="微软雅黑" w:cs="宋体"/>
          <w:b/>
          <w:color w:val="auto"/>
        </w:rPr>
      </w:pPr>
      <w:r>
        <w:rPr>
          <w:rFonts w:hint="eastAsia" w:ascii="微软雅黑" w:hAnsi="微软雅黑" w:eastAsia="微软雅黑" w:cs="宋体"/>
          <w:b/>
          <w:color w:val="auto"/>
        </w:rPr>
        <w:t>（八）具有药物临床试验管理制度和标准操作规程；</w:t>
      </w:r>
    </w:p>
    <w:p>
      <w:pPr>
        <w:pStyle w:val="9"/>
        <w:rPr>
          <w:rFonts w:ascii="微软雅黑" w:hAnsi="微软雅黑" w:eastAsia="微软雅黑" w:cs="宋体"/>
          <w:color w:val="auto"/>
        </w:rPr>
      </w:pPr>
      <w:r>
        <w:rPr>
          <w:rFonts w:hint="eastAsia" w:ascii="微软雅黑" w:hAnsi="微软雅黑" w:eastAsia="微软雅黑" w:cs="宋体"/>
          <w:b/>
          <w:color w:val="auto"/>
        </w:rPr>
        <w:t>（九）具有防范和处理药物临床试验中突发事件的管理机制和措施。</w:t>
      </w:r>
    </w:p>
    <w:p>
      <w:pPr>
        <w:pStyle w:val="9"/>
        <w:rPr>
          <w:rFonts w:ascii="微软雅黑" w:hAnsi="微软雅黑" w:eastAsia="微软雅黑" w:cs="黑体"/>
          <w:b/>
          <w:color w:val="C00000"/>
        </w:rPr>
      </w:pPr>
      <w:r>
        <w:rPr>
          <w:rFonts w:ascii="微软雅黑" w:hAnsi="微软雅黑" w:eastAsia="微软雅黑" w:cs="黑体"/>
          <w:b/>
          <w:color w:val="C00000"/>
        </w:rPr>
        <w:t>八、申请材料</w:t>
      </w:r>
      <w:r>
        <w:rPr>
          <w:rFonts w:hint="eastAsia" w:ascii="微软雅黑" w:hAnsi="微软雅黑" w:eastAsia="微软雅黑" w:cs="黑体"/>
          <w:b/>
          <w:color w:val="C00000"/>
        </w:rPr>
        <w:t>！</w:t>
      </w:r>
    </w:p>
    <w:p>
      <w:pPr>
        <w:pStyle w:val="9"/>
        <w:rPr>
          <w:rFonts w:ascii="微软雅黑" w:hAnsi="微软雅黑" w:eastAsia="微软雅黑" w:cs="宋体"/>
          <w:b/>
          <w:color w:val="auto"/>
        </w:rPr>
      </w:pPr>
      <w:r>
        <w:rPr>
          <w:rFonts w:hint="eastAsia" w:ascii="微软雅黑" w:hAnsi="微软雅黑" w:eastAsia="微软雅黑" w:cs="宋体"/>
          <w:b/>
          <w:color w:val="auto"/>
        </w:rPr>
        <w:t>（一）申请材料清单</w:t>
      </w:r>
    </w:p>
    <w:p>
      <w:pPr>
        <w:pStyle w:val="9"/>
        <w:rPr>
          <w:rFonts w:ascii="微软雅黑" w:hAnsi="微软雅黑" w:eastAsia="微软雅黑" w:cs="宋体"/>
          <w:b/>
          <w:color w:val="auto"/>
        </w:rPr>
      </w:pPr>
      <w:r>
        <w:rPr>
          <w:rFonts w:ascii="微软雅黑" w:hAnsi="微软雅黑" w:eastAsia="微软雅黑" w:cs="Times New Roman"/>
          <w:b/>
          <w:color w:val="auto"/>
        </w:rPr>
        <w:t>1.</w:t>
      </w:r>
      <w:r>
        <w:rPr>
          <w:rFonts w:hint="eastAsia" w:ascii="微软雅黑" w:hAnsi="微软雅黑" w:eastAsia="微软雅黑" w:cs="宋体"/>
          <w:b/>
          <w:color w:val="auto"/>
        </w:rPr>
        <w:t>《药物临床试验机构资格认定申请表》；</w:t>
      </w:r>
    </w:p>
    <w:p>
      <w:pPr>
        <w:pStyle w:val="9"/>
        <w:rPr>
          <w:rFonts w:ascii="微软雅黑" w:hAnsi="微软雅黑" w:eastAsia="微软雅黑" w:cs="宋体"/>
          <w:b/>
          <w:color w:val="auto"/>
        </w:rPr>
      </w:pPr>
      <w:r>
        <w:rPr>
          <w:rFonts w:ascii="微软雅黑" w:hAnsi="微软雅黑" w:eastAsia="微软雅黑" w:cs="Times New Roman"/>
          <w:b/>
          <w:color w:val="auto"/>
        </w:rPr>
        <w:t>2.</w:t>
      </w:r>
      <w:r>
        <w:rPr>
          <w:rFonts w:hint="eastAsia" w:ascii="微软雅黑" w:hAnsi="微软雅黑" w:eastAsia="微软雅黑" w:cs="宋体"/>
          <w:b/>
          <w:color w:val="auto"/>
        </w:rPr>
        <w:t>省级卫生行政部门审核意见；</w:t>
      </w:r>
    </w:p>
    <w:p>
      <w:pPr>
        <w:pStyle w:val="9"/>
        <w:rPr>
          <w:rFonts w:ascii="微软雅黑" w:hAnsi="微软雅黑" w:eastAsia="微软雅黑" w:cs="宋体"/>
          <w:b/>
          <w:color w:val="auto"/>
        </w:rPr>
      </w:pPr>
      <w:r>
        <w:rPr>
          <w:rFonts w:ascii="微软雅黑" w:hAnsi="微软雅黑" w:eastAsia="微软雅黑" w:cs="Times New Roman"/>
          <w:b/>
          <w:color w:val="auto"/>
        </w:rPr>
        <w:t>3.</w:t>
      </w:r>
      <w:r>
        <w:rPr>
          <w:rFonts w:hint="eastAsia" w:ascii="微软雅黑" w:hAnsi="微软雅黑" w:eastAsia="微软雅黑" w:cs="宋体"/>
          <w:b/>
          <w:color w:val="auto"/>
        </w:rPr>
        <w:t>省级食品药品监督管理部门审核意见；</w:t>
      </w:r>
    </w:p>
    <w:p>
      <w:pPr>
        <w:pStyle w:val="9"/>
        <w:rPr>
          <w:rFonts w:ascii="微软雅黑" w:hAnsi="微软雅黑" w:eastAsia="微软雅黑" w:cs="宋体"/>
          <w:b/>
          <w:color w:val="auto"/>
        </w:rPr>
      </w:pPr>
      <w:r>
        <w:rPr>
          <w:rFonts w:ascii="微软雅黑" w:hAnsi="微软雅黑" w:eastAsia="微软雅黑" w:cs="Times New Roman"/>
          <w:b/>
          <w:color w:val="auto"/>
        </w:rPr>
        <w:t>4.</w:t>
      </w:r>
      <w:r>
        <w:rPr>
          <w:rFonts w:hint="eastAsia" w:ascii="微软雅黑" w:hAnsi="微软雅黑" w:eastAsia="微软雅黑" w:cs="宋体"/>
          <w:b/>
          <w:color w:val="auto"/>
        </w:rPr>
        <w:t>医疗机构执业许可证复印件；</w:t>
      </w:r>
    </w:p>
    <w:p>
      <w:pPr>
        <w:pStyle w:val="9"/>
        <w:rPr>
          <w:rFonts w:ascii="微软雅黑" w:hAnsi="微软雅黑" w:eastAsia="微软雅黑" w:cs="宋体"/>
          <w:b/>
          <w:color w:val="auto"/>
        </w:rPr>
      </w:pPr>
      <w:r>
        <w:rPr>
          <w:rFonts w:ascii="微软雅黑" w:hAnsi="微软雅黑" w:eastAsia="微软雅黑" w:cs="Times New Roman"/>
          <w:b/>
          <w:color w:val="auto"/>
        </w:rPr>
        <w:t>5.</w:t>
      </w:r>
      <w:r>
        <w:rPr>
          <w:rFonts w:hint="eastAsia" w:ascii="微软雅黑" w:hAnsi="微软雅黑" w:eastAsia="微软雅黑" w:cs="宋体"/>
          <w:b/>
          <w:color w:val="auto"/>
        </w:rPr>
        <w:t>医疗机构概况；</w:t>
      </w:r>
    </w:p>
    <w:p>
      <w:pPr>
        <w:pStyle w:val="9"/>
        <w:rPr>
          <w:rFonts w:ascii="微软雅黑" w:hAnsi="微软雅黑" w:eastAsia="微软雅黑" w:cs="宋体"/>
          <w:b/>
          <w:color w:val="auto"/>
        </w:rPr>
      </w:pPr>
      <w:r>
        <w:rPr>
          <w:rFonts w:ascii="微软雅黑" w:hAnsi="微软雅黑" w:eastAsia="微软雅黑" w:cs="Times New Roman"/>
          <w:b/>
          <w:color w:val="auto"/>
        </w:rPr>
        <w:t>6.</w:t>
      </w:r>
      <w:r>
        <w:rPr>
          <w:rFonts w:hint="eastAsia" w:ascii="微软雅黑" w:hAnsi="微软雅黑" w:eastAsia="微软雅黑" w:cs="宋体"/>
          <w:b/>
          <w:color w:val="auto"/>
        </w:rPr>
        <w:t>防范和处理医疗中受试者损害及突发事件的预案；</w:t>
      </w:r>
    </w:p>
    <w:p>
      <w:pPr>
        <w:pStyle w:val="9"/>
        <w:rPr>
          <w:rFonts w:ascii="微软雅黑" w:hAnsi="微软雅黑" w:eastAsia="微软雅黑" w:cs="宋体"/>
          <w:b/>
          <w:color w:val="auto"/>
        </w:rPr>
      </w:pPr>
      <w:r>
        <w:rPr>
          <w:rFonts w:ascii="微软雅黑" w:hAnsi="微软雅黑" w:eastAsia="微软雅黑" w:cs="Times New Roman"/>
          <w:b/>
          <w:color w:val="auto"/>
        </w:rPr>
        <w:t>7.</w:t>
      </w:r>
      <w:r>
        <w:rPr>
          <w:rFonts w:hint="eastAsia" w:ascii="微软雅黑" w:hAnsi="微软雅黑" w:eastAsia="微软雅黑" w:cs="宋体"/>
          <w:b/>
          <w:color w:val="auto"/>
        </w:rPr>
        <w:t>药物临床试验机构组织管理机构与负责人情况；</w:t>
      </w:r>
    </w:p>
    <w:p>
      <w:pPr>
        <w:pStyle w:val="9"/>
        <w:rPr>
          <w:rFonts w:ascii="微软雅黑" w:hAnsi="微软雅黑" w:eastAsia="微软雅黑" w:cs="宋体"/>
          <w:b/>
          <w:color w:val="auto"/>
        </w:rPr>
      </w:pPr>
      <w:r>
        <w:rPr>
          <w:rFonts w:ascii="微软雅黑" w:hAnsi="微软雅黑" w:eastAsia="微软雅黑" w:cs="Times New Roman"/>
          <w:b/>
          <w:color w:val="auto"/>
        </w:rPr>
        <w:t>8.</w:t>
      </w:r>
      <w:r>
        <w:rPr>
          <w:rFonts w:hint="eastAsia" w:ascii="微软雅黑" w:hAnsi="微软雅黑" w:eastAsia="微软雅黑" w:cs="宋体"/>
          <w:b/>
          <w:color w:val="auto"/>
        </w:rPr>
        <w:t>药物临床试验管理制度和标准操作规程情况；</w:t>
      </w:r>
    </w:p>
    <w:p>
      <w:pPr>
        <w:pStyle w:val="9"/>
        <w:rPr>
          <w:rFonts w:ascii="微软雅黑" w:hAnsi="微软雅黑" w:eastAsia="微软雅黑" w:cs="宋体"/>
          <w:b/>
          <w:color w:val="auto"/>
        </w:rPr>
      </w:pPr>
      <w:r>
        <w:rPr>
          <w:rFonts w:ascii="微软雅黑" w:hAnsi="微软雅黑" w:eastAsia="微软雅黑" w:cs="Times New Roman"/>
          <w:b/>
          <w:color w:val="auto"/>
        </w:rPr>
        <w:t>9.</w:t>
      </w:r>
      <w:r>
        <w:rPr>
          <w:rFonts w:hint="eastAsia" w:ascii="微软雅黑" w:hAnsi="微软雅黑" w:eastAsia="微软雅黑" w:cs="宋体"/>
          <w:b/>
          <w:color w:val="auto"/>
        </w:rPr>
        <w:t>申请资格认定的专业科室及人员情况；</w:t>
      </w:r>
    </w:p>
    <w:p>
      <w:pPr>
        <w:pStyle w:val="9"/>
        <w:rPr>
          <w:rFonts w:ascii="微软雅黑" w:hAnsi="微软雅黑" w:eastAsia="微软雅黑" w:cs="宋体"/>
          <w:b/>
          <w:color w:val="auto"/>
        </w:rPr>
      </w:pPr>
      <w:r>
        <w:rPr>
          <w:rFonts w:ascii="微软雅黑" w:hAnsi="微软雅黑" w:eastAsia="微软雅黑" w:cs="Times New Roman"/>
          <w:b/>
          <w:color w:val="auto"/>
        </w:rPr>
        <w:t>10.</w:t>
      </w:r>
      <w:r>
        <w:rPr>
          <w:rFonts w:hint="eastAsia" w:ascii="微软雅黑" w:hAnsi="微软雅黑" w:eastAsia="微软雅黑" w:cs="宋体"/>
          <w:b/>
          <w:color w:val="auto"/>
        </w:rPr>
        <w:t>申请资格认定的专业科室年均门诊诊疗及入出院人次；</w:t>
      </w:r>
    </w:p>
    <w:p>
      <w:pPr>
        <w:pStyle w:val="9"/>
        <w:rPr>
          <w:rFonts w:ascii="微软雅黑" w:hAnsi="微软雅黑" w:eastAsia="微软雅黑" w:cs="宋体"/>
          <w:b/>
          <w:color w:val="auto"/>
        </w:rPr>
      </w:pPr>
      <w:r>
        <w:rPr>
          <w:rFonts w:ascii="微软雅黑" w:hAnsi="微软雅黑" w:eastAsia="微软雅黑" w:cs="Times New Roman"/>
          <w:b/>
          <w:color w:val="auto"/>
        </w:rPr>
        <w:t>11.</w:t>
      </w:r>
      <w:r>
        <w:rPr>
          <w:rFonts w:hint="eastAsia" w:ascii="微软雅黑" w:hAnsi="微软雅黑" w:eastAsia="微软雅黑" w:cs="宋体"/>
          <w:b/>
          <w:color w:val="auto"/>
        </w:rPr>
        <w:t>参加药物临床试验技术要求和相关法规的培训情况；</w:t>
      </w:r>
    </w:p>
    <w:p>
      <w:pPr>
        <w:pStyle w:val="9"/>
        <w:rPr>
          <w:rFonts w:ascii="微软雅黑" w:hAnsi="微软雅黑" w:eastAsia="微软雅黑" w:cs="宋体"/>
          <w:b/>
          <w:color w:val="auto"/>
        </w:rPr>
      </w:pPr>
      <w:r>
        <w:rPr>
          <w:rFonts w:ascii="微软雅黑" w:hAnsi="微软雅黑" w:eastAsia="微软雅黑" w:cs="Times New Roman"/>
          <w:b/>
          <w:color w:val="auto"/>
        </w:rPr>
        <w:t>12.</w:t>
      </w:r>
      <w:r>
        <w:rPr>
          <w:rFonts w:hint="eastAsia" w:ascii="微软雅黑" w:hAnsi="微软雅黑" w:eastAsia="微软雅黑" w:cs="宋体"/>
          <w:b/>
          <w:color w:val="auto"/>
        </w:rPr>
        <w:t>机构主要仪器设备情况；</w:t>
      </w:r>
    </w:p>
    <w:p>
      <w:pPr>
        <w:pStyle w:val="9"/>
        <w:rPr>
          <w:rFonts w:ascii="微软雅黑" w:hAnsi="微软雅黑" w:eastAsia="微软雅黑" w:cs="宋体"/>
          <w:b/>
          <w:color w:val="auto"/>
        </w:rPr>
      </w:pPr>
      <w:r>
        <w:rPr>
          <w:rFonts w:ascii="微软雅黑" w:hAnsi="微软雅黑" w:eastAsia="微软雅黑" w:cs="Times New Roman"/>
          <w:b/>
          <w:color w:val="auto"/>
        </w:rPr>
        <w:t>13.</w:t>
      </w:r>
      <w:r>
        <w:rPr>
          <w:rFonts w:hint="eastAsia" w:ascii="微软雅黑" w:hAnsi="微软雅黑" w:eastAsia="微软雅黑" w:cs="宋体"/>
          <w:b/>
          <w:color w:val="auto"/>
        </w:rPr>
        <w:t>实施临床试验工作情况（近</w:t>
      </w:r>
      <w:r>
        <w:rPr>
          <w:rFonts w:ascii="微软雅黑" w:hAnsi="微软雅黑" w:eastAsia="微软雅黑" w:cs="Times New Roman"/>
          <w:b/>
          <w:color w:val="auto"/>
        </w:rPr>
        <w:t>3</w:t>
      </w:r>
      <w:r>
        <w:rPr>
          <w:rFonts w:hint="eastAsia" w:ascii="微软雅黑" w:hAnsi="微软雅黑" w:eastAsia="微软雅黑" w:cs="宋体"/>
          <w:b/>
          <w:color w:val="auto"/>
        </w:rPr>
        <w:t>年完成临床试验情况）；</w:t>
      </w:r>
    </w:p>
    <w:p>
      <w:pPr>
        <w:pStyle w:val="9"/>
        <w:rPr>
          <w:rFonts w:ascii="微软雅黑" w:hAnsi="微软雅黑" w:eastAsia="微软雅黑" w:cs="宋体"/>
          <w:b/>
          <w:color w:val="auto"/>
        </w:rPr>
      </w:pPr>
      <w:r>
        <w:rPr>
          <w:rFonts w:ascii="微软雅黑" w:hAnsi="微软雅黑" w:eastAsia="微软雅黑" w:cs="Times New Roman"/>
          <w:b/>
          <w:color w:val="auto"/>
        </w:rPr>
        <w:t>14.</w:t>
      </w:r>
      <w:r>
        <w:rPr>
          <w:rFonts w:hint="eastAsia" w:ascii="微软雅黑" w:hAnsi="微软雅黑" w:eastAsia="微软雅黑" w:cs="宋体"/>
          <w:b/>
          <w:color w:val="auto"/>
        </w:rPr>
        <w:t>其他有关资料。</w:t>
      </w:r>
    </w:p>
    <w:p>
      <w:pPr>
        <w:pStyle w:val="9"/>
        <w:rPr>
          <w:rFonts w:ascii="微软雅黑" w:hAnsi="微软雅黑" w:eastAsia="微软雅黑" w:cs="宋体"/>
          <w:color w:val="auto"/>
        </w:rPr>
      </w:pPr>
      <w:r>
        <w:rPr>
          <w:rFonts w:hint="eastAsia" w:ascii="微软雅黑" w:hAnsi="微软雅黑" w:eastAsia="微软雅黑" w:cs="宋体"/>
          <w:color w:val="auto"/>
        </w:rPr>
        <w:t>（二）申报资料的一般要求</w:t>
      </w:r>
    </w:p>
    <w:p>
      <w:pPr>
        <w:pStyle w:val="9"/>
        <w:rPr>
          <w:rFonts w:ascii="微软雅黑" w:hAnsi="微软雅黑" w:eastAsia="微软雅黑" w:cs="宋体"/>
          <w:color w:val="auto"/>
        </w:rPr>
      </w:pPr>
      <w:r>
        <w:rPr>
          <w:rFonts w:ascii="微软雅黑" w:hAnsi="微软雅黑" w:eastAsia="微软雅黑" w:cs="Times New Roman"/>
          <w:color w:val="auto"/>
        </w:rPr>
        <w:t>1.</w:t>
      </w:r>
      <w:r>
        <w:rPr>
          <w:rFonts w:hint="eastAsia" w:ascii="微软雅黑" w:hAnsi="微软雅黑" w:eastAsia="微软雅黑" w:cs="宋体"/>
          <w:color w:val="auto"/>
        </w:rPr>
        <w:t>申报资料应使用</w:t>
      </w:r>
      <w:r>
        <w:rPr>
          <w:rFonts w:ascii="微软雅黑" w:hAnsi="微软雅黑" w:eastAsia="微软雅黑" w:cs="Times New Roman"/>
          <w:color w:val="auto"/>
        </w:rPr>
        <w:t>A4</w:t>
      </w:r>
      <w:r>
        <w:rPr>
          <w:rFonts w:hint="eastAsia" w:ascii="微软雅黑" w:hAnsi="微软雅黑" w:eastAsia="微软雅黑" w:cs="宋体"/>
          <w:color w:val="auto"/>
        </w:rPr>
        <w:t>规格纸打印或复印，内容完整、规范、清楚，不得涂改。</w:t>
      </w:r>
    </w:p>
    <w:p>
      <w:pPr>
        <w:pStyle w:val="9"/>
        <w:rPr>
          <w:rFonts w:ascii="微软雅黑" w:hAnsi="微软雅黑" w:eastAsia="微软雅黑" w:cs="宋体"/>
          <w:color w:val="auto"/>
        </w:rPr>
      </w:pPr>
      <w:r>
        <w:rPr>
          <w:rFonts w:ascii="微软雅黑" w:hAnsi="微软雅黑" w:eastAsia="微软雅黑" w:cs="Times New Roman"/>
          <w:color w:val="auto"/>
        </w:rPr>
        <w:t>2.</w:t>
      </w:r>
      <w:r>
        <w:rPr>
          <w:rFonts w:hint="eastAsia" w:ascii="微软雅黑" w:hAnsi="微软雅黑" w:eastAsia="微软雅黑" w:cs="宋体"/>
          <w:color w:val="auto"/>
        </w:rPr>
        <w:t>资料份数：书面资料一份。</w:t>
      </w:r>
    </w:p>
    <w:p>
      <w:pPr>
        <w:pStyle w:val="9"/>
        <w:rPr>
          <w:rFonts w:ascii="微软雅黑" w:hAnsi="微软雅黑" w:eastAsia="微软雅黑" w:cs="宋体"/>
          <w:color w:val="auto"/>
        </w:rPr>
      </w:pPr>
      <w:r>
        <w:rPr>
          <w:rFonts w:hint="eastAsia" w:ascii="微软雅黑" w:hAnsi="微软雅黑" w:eastAsia="微软雅黑" w:cs="宋体"/>
          <w:color w:val="auto"/>
        </w:rPr>
        <w:t>（三）对申报资料的具体要求</w:t>
      </w:r>
    </w:p>
    <w:p>
      <w:pPr>
        <w:pStyle w:val="9"/>
        <w:rPr>
          <w:rFonts w:ascii="微软雅黑" w:hAnsi="微软雅黑" w:eastAsia="微软雅黑" w:cs="宋体"/>
          <w:color w:val="auto"/>
        </w:rPr>
      </w:pPr>
      <w:r>
        <w:rPr>
          <w:rFonts w:ascii="微软雅黑" w:hAnsi="微软雅黑" w:eastAsia="微软雅黑" w:cs="Times New Roman"/>
          <w:color w:val="auto"/>
        </w:rPr>
        <w:t>1.</w:t>
      </w:r>
      <w:r>
        <w:rPr>
          <w:rFonts w:hint="eastAsia" w:ascii="微软雅黑" w:hAnsi="微软雅黑" w:eastAsia="微软雅黑" w:cs="宋体"/>
          <w:color w:val="auto"/>
        </w:rPr>
        <w:t>《药物临床试验机构资格认定申请表》的封面应加盖医疗机构公章。</w:t>
      </w:r>
    </w:p>
    <w:p>
      <w:pPr>
        <w:pStyle w:val="9"/>
        <w:rPr>
          <w:rFonts w:ascii="微软雅黑" w:hAnsi="微软雅黑" w:eastAsia="微软雅黑" w:cs="宋体"/>
          <w:color w:val="auto"/>
        </w:rPr>
      </w:pPr>
      <w:r>
        <w:rPr>
          <w:rFonts w:ascii="微软雅黑" w:hAnsi="微软雅黑" w:eastAsia="微软雅黑" w:cs="Times New Roman"/>
          <w:color w:val="auto"/>
        </w:rPr>
        <w:t>2.</w:t>
      </w:r>
      <w:r>
        <w:rPr>
          <w:rFonts w:hint="eastAsia" w:ascii="微软雅黑" w:hAnsi="微软雅黑" w:eastAsia="微软雅黑" w:cs="宋体"/>
          <w:color w:val="auto"/>
        </w:rPr>
        <w:t>医疗机构执业许可证应提交正本和副本复印件并在有效期内。</w:t>
      </w:r>
    </w:p>
    <w:p>
      <w:pPr>
        <w:pStyle w:val="9"/>
        <w:rPr>
          <w:rFonts w:ascii="微软雅黑" w:hAnsi="微软雅黑" w:eastAsia="微软雅黑" w:cs="宋体"/>
          <w:color w:val="auto"/>
        </w:rPr>
      </w:pPr>
      <w:r>
        <w:rPr>
          <w:rFonts w:ascii="微软雅黑" w:hAnsi="微软雅黑" w:eastAsia="微软雅黑" w:cs="Times New Roman"/>
          <w:color w:val="auto"/>
        </w:rPr>
        <w:t>3.</w:t>
      </w:r>
      <w:r>
        <w:rPr>
          <w:rFonts w:hint="eastAsia" w:ascii="微软雅黑" w:hAnsi="微软雅黑" w:eastAsia="微软雅黑" w:cs="宋体"/>
          <w:color w:val="auto"/>
        </w:rPr>
        <w:t>相关省级卫生行政部门和省级食品药品监督管理部门应签署意见和加盖公章。</w:t>
      </w:r>
    </w:p>
    <w:p>
      <w:pPr>
        <w:pStyle w:val="9"/>
        <w:rPr>
          <w:rFonts w:ascii="微软雅黑" w:hAnsi="微软雅黑" w:eastAsia="微软雅黑" w:cs="宋体"/>
          <w:color w:val="auto"/>
        </w:rPr>
      </w:pPr>
      <w:r>
        <w:rPr>
          <w:rFonts w:ascii="微软雅黑" w:hAnsi="微软雅黑" w:eastAsia="微软雅黑" w:cs="Times New Roman"/>
          <w:color w:val="auto"/>
        </w:rPr>
        <w:t>4.</w:t>
      </w:r>
      <w:r>
        <w:rPr>
          <w:rFonts w:hint="eastAsia" w:ascii="微软雅黑" w:hAnsi="微软雅黑" w:eastAsia="微软雅黑" w:cs="宋体"/>
          <w:color w:val="auto"/>
        </w:rPr>
        <w:t>申请的专业名称应根据原卫生部诊疗目录要求相对规范。</w:t>
      </w:r>
    </w:p>
    <w:p>
      <w:pPr>
        <w:pStyle w:val="9"/>
        <w:rPr>
          <w:rFonts w:ascii="微软雅黑" w:hAnsi="微软雅黑" w:eastAsia="微软雅黑" w:cs="宋体"/>
          <w:color w:val="auto"/>
        </w:rPr>
      </w:pPr>
      <w:r>
        <w:rPr>
          <w:rFonts w:hint="eastAsia" w:ascii="微软雅黑" w:hAnsi="微软雅黑" w:eastAsia="微软雅黑" w:cs="宋体"/>
          <w:color w:val="auto"/>
        </w:rPr>
        <w:t>（</w:t>
      </w:r>
      <w:r>
        <w:rPr>
          <w:rFonts w:ascii="微软雅黑" w:hAnsi="微软雅黑" w:eastAsia="微软雅黑" w:cs="Times New Roman"/>
          <w:color w:val="auto"/>
        </w:rPr>
        <w:t>1</w:t>
      </w:r>
      <w:r>
        <w:rPr>
          <w:rFonts w:hint="eastAsia" w:ascii="微软雅黑" w:hAnsi="微软雅黑" w:eastAsia="微软雅黑" w:cs="宋体"/>
          <w:color w:val="auto"/>
        </w:rPr>
        <w:t>）中医、儿科专业应进一步细分，如（中医呼吸、小儿呼吸等）。</w:t>
      </w:r>
    </w:p>
    <w:p>
      <w:pPr>
        <w:pStyle w:val="9"/>
        <w:rPr>
          <w:rFonts w:ascii="微软雅黑" w:hAnsi="微软雅黑" w:eastAsia="微软雅黑" w:cs="宋体"/>
          <w:color w:val="auto"/>
        </w:rPr>
      </w:pPr>
      <w:r>
        <w:rPr>
          <w:rFonts w:hint="eastAsia" w:ascii="微软雅黑" w:hAnsi="微软雅黑" w:eastAsia="微软雅黑" w:cs="宋体"/>
          <w:color w:val="auto"/>
        </w:rPr>
        <w:t>（</w:t>
      </w:r>
      <w:r>
        <w:rPr>
          <w:rFonts w:ascii="微软雅黑" w:hAnsi="微软雅黑" w:eastAsia="微软雅黑" w:cs="Times New Roman"/>
          <w:color w:val="auto"/>
        </w:rPr>
        <w:t>2</w:t>
      </w:r>
      <w:r>
        <w:rPr>
          <w:rFonts w:hint="eastAsia" w:ascii="微软雅黑" w:hAnsi="微软雅黑" w:eastAsia="微软雅黑" w:cs="宋体"/>
          <w:color w:val="auto"/>
        </w:rPr>
        <w:t>）医学影像专业分为诊断、治疗、核医学三个方向，受理时应明确。</w:t>
      </w:r>
    </w:p>
    <w:p>
      <w:pPr>
        <w:pStyle w:val="9"/>
        <w:rPr>
          <w:rFonts w:ascii="微软雅黑" w:hAnsi="微软雅黑" w:eastAsia="微软雅黑" w:cs="黑体"/>
          <w:color w:val="auto"/>
        </w:rPr>
      </w:pPr>
      <w:r>
        <w:rPr>
          <w:rFonts w:ascii="微软雅黑" w:hAnsi="微软雅黑" w:eastAsia="微软雅黑" w:cs="黑体"/>
          <w:color w:val="auto"/>
        </w:rPr>
        <w:t>九、申请接收</w:t>
      </w:r>
    </w:p>
    <w:p>
      <w:pPr>
        <w:pStyle w:val="9"/>
        <w:rPr>
          <w:rFonts w:ascii="微软雅黑" w:hAnsi="微软雅黑" w:eastAsia="微软雅黑" w:cs="宋体"/>
          <w:color w:val="auto"/>
        </w:rPr>
      </w:pPr>
      <w:r>
        <w:rPr>
          <w:rFonts w:hint="eastAsia" w:ascii="微软雅黑" w:hAnsi="微软雅黑" w:eastAsia="微软雅黑" w:cs="宋体"/>
          <w:color w:val="auto"/>
        </w:rPr>
        <w:t>（一）接收方式</w:t>
      </w:r>
    </w:p>
    <w:p>
      <w:pPr>
        <w:pStyle w:val="9"/>
        <w:rPr>
          <w:rFonts w:ascii="微软雅黑" w:hAnsi="微软雅黑" w:eastAsia="微软雅黑" w:cs="宋体"/>
          <w:color w:val="auto"/>
        </w:rPr>
      </w:pPr>
      <w:r>
        <w:rPr>
          <w:rFonts w:ascii="微软雅黑" w:hAnsi="微软雅黑" w:eastAsia="微软雅黑" w:cs="Times New Roman"/>
          <w:color w:val="auto"/>
        </w:rPr>
        <w:t>1.</w:t>
      </w:r>
      <w:r>
        <w:rPr>
          <w:rFonts w:hint="eastAsia" w:ascii="微软雅黑" w:hAnsi="微软雅黑" w:eastAsia="微软雅黑" w:cs="宋体"/>
          <w:color w:val="auto"/>
        </w:rPr>
        <w:t>电子申请</w:t>
      </w:r>
    </w:p>
    <w:p>
      <w:pPr>
        <w:pStyle w:val="9"/>
        <w:rPr>
          <w:rFonts w:ascii="微软雅黑" w:hAnsi="微软雅黑" w:eastAsia="微软雅黑" w:cs="Times New Roman"/>
          <w:color w:val="auto"/>
        </w:rPr>
      </w:pPr>
      <w:r>
        <w:rPr>
          <w:rFonts w:hint="eastAsia" w:ascii="微软雅黑" w:hAnsi="微软雅黑" w:eastAsia="微软雅黑" w:cs="宋体"/>
          <w:color w:val="auto"/>
        </w:rPr>
        <w:t>国家食品药品监督管理总局网站，</w:t>
      </w:r>
      <w:r>
        <w:rPr>
          <w:rFonts w:ascii="微软雅黑" w:hAnsi="微软雅黑" w:eastAsia="微软雅黑" w:cs="Times New Roman"/>
          <w:color w:val="auto"/>
        </w:rPr>
        <w:t>www.cfda.gov.cn</w:t>
      </w:r>
    </w:p>
    <w:p>
      <w:pPr>
        <w:pStyle w:val="9"/>
        <w:rPr>
          <w:rFonts w:ascii="微软雅黑" w:hAnsi="微软雅黑" w:eastAsia="微软雅黑" w:cs="宋体"/>
          <w:color w:val="auto"/>
        </w:rPr>
      </w:pPr>
      <w:r>
        <w:rPr>
          <w:rFonts w:ascii="微软雅黑" w:hAnsi="微软雅黑" w:eastAsia="微软雅黑" w:cs="Times New Roman"/>
          <w:color w:val="auto"/>
        </w:rPr>
        <w:t>2.</w:t>
      </w:r>
      <w:r>
        <w:rPr>
          <w:rFonts w:hint="eastAsia" w:ascii="微软雅黑" w:hAnsi="微软雅黑" w:eastAsia="微软雅黑" w:cs="宋体"/>
          <w:color w:val="auto"/>
        </w:rPr>
        <w:t>信函接收</w:t>
      </w:r>
    </w:p>
    <w:p>
      <w:pPr>
        <w:pStyle w:val="9"/>
        <w:rPr>
          <w:rFonts w:ascii="微软雅黑" w:hAnsi="微软雅黑" w:eastAsia="微软雅黑" w:cs="宋体"/>
          <w:color w:val="auto"/>
        </w:rPr>
      </w:pPr>
      <w:r>
        <w:rPr>
          <w:rFonts w:hint="eastAsia" w:ascii="微软雅黑" w:hAnsi="微软雅黑" w:eastAsia="微软雅黑" w:cs="宋体"/>
          <w:color w:val="auto"/>
        </w:rPr>
        <w:t>接收部门：国家食品药品监督管理总局食品药品审核查验中心</w:t>
      </w:r>
    </w:p>
    <w:p>
      <w:pPr>
        <w:pStyle w:val="9"/>
        <w:rPr>
          <w:rFonts w:ascii="微软雅黑" w:hAnsi="微软雅黑" w:eastAsia="微软雅黑" w:cs="宋体"/>
          <w:color w:val="auto"/>
        </w:rPr>
      </w:pPr>
      <w:r>
        <w:rPr>
          <w:rFonts w:hint="eastAsia" w:ascii="微软雅黑" w:hAnsi="微软雅黑" w:eastAsia="微软雅黑" w:cs="宋体"/>
          <w:color w:val="auto"/>
        </w:rPr>
        <w:t>接收地址：北京市东城区法华南里小区</w:t>
      </w:r>
      <w:r>
        <w:rPr>
          <w:rFonts w:ascii="微软雅黑" w:hAnsi="微软雅黑" w:eastAsia="微软雅黑" w:cs="Times New Roman"/>
          <w:color w:val="auto"/>
        </w:rPr>
        <w:t>11</w:t>
      </w:r>
      <w:r>
        <w:rPr>
          <w:rFonts w:hint="eastAsia" w:ascii="微软雅黑" w:hAnsi="微软雅黑" w:eastAsia="微软雅黑" w:cs="宋体"/>
          <w:color w:val="auto"/>
        </w:rPr>
        <w:t>号楼三层</w:t>
      </w:r>
    </w:p>
    <w:p>
      <w:pPr>
        <w:pStyle w:val="9"/>
        <w:rPr>
          <w:rFonts w:ascii="微软雅黑" w:hAnsi="微软雅黑" w:eastAsia="微软雅黑" w:cs="Times New Roman"/>
          <w:color w:val="auto"/>
        </w:rPr>
      </w:pPr>
      <w:r>
        <w:rPr>
          <w:rFonts w:hint="eastAsia" w:ascii="微软雅黑" w:hAnsi="微软雅黑" w:eastAsia="微软雅黑" w:cs="宋体"/>
          <w:color w:val="auto"/>
        </w:rPr>
        <w:t>邮政编码：</w:t>
      </w:r>
      <w:r>
        <w:rPr>
          <w:rFonts w:ascii="微软雅黑" w:hAnsi="微软雅黑" w:eastAsia="微软雅黑" w:cs="Times New Roman"/>
          <w:color w:val="auto"/>
        </w:rPr>
        <w:t>100061</w:t>
      </w:r>
    </w:p>
    <w:p>
      <w:pPr>
        <w:pStyle w:val="9"/>
        <w:rPr>
          <w:rFonts w:ascii="微软雅黑" w:hAnsi="微软雅黑" w:eastAsia="微软雅黑" w:cs="Times New Roman"/>
          <w:color w:val="auto"/>
        </w:rPr>
      </w:pPr>
      <w:r>
        <w:rPr>
          <w:rFonts w:hint="eastAsia" w:ascii="微软雅黑" w:hAnsi="微软雅黑" w:eastAsia="微软雅黑" w:cs="宋体"/>
          <w:color w:val="auto"/>
        </w:rPr>
        <w:t>联系电话：</w:t>
      </w:r>
      <w:r>
        <w:rPr>
          <w:rFonts w:ascii="微软雅黑" w:hAnsi="微软雅黑" w:eastAsia="微软雅黑" w:cs="Times New Roman"/>
          <w:color w:val="auto"/>
        </w:rPr>
        <w:t>010-87559000</w:t>
      </w:r>
    </w:p>
    <w:p>
      <w:pPr>
        <w:pStyle w:val="9"/>
        <w:rPr>
          <w:rFonts w:ascii="微软雅黑" w:hAnsi="微软雅黑" w:eastAsia="微软雅黑" w:cs="Times New Roman"/>
          <w:color w:val="auto"/>
        </w:rPr>
      </w:pPr>
      <w:r>
        <w:rPr>
          <w:rFonts w:ascii="微软雅黑" w:hAnsi="微软雅黑" w:eastAsia="微软雅黑" w:cs="Times New Roman"/>
          <w:color w:val="auto"/>
        </w:rPr>
        <w:t>3.</w:t>
      </w:r>
      <w:r>
        <w:rPr>
          <w:rFonts w:hint="eastAsia" w:ascii="微软雅黑" w:hAnsi="微软雅黑" w:eastAsia="微软雅黑" w:cs="宋体"/>
          <w:color w:val="auto"/>
        </w:rPr>
        <w:t>电子邮箱：</w:t>
      </w:r>
      <w:r>
        <w:rPr>
          <w:rFonts w:ascii="微软雅黑" w:hAnsi="微软雅黑" w:eastAsia="微软雅黑" w:cs="Times New Roman"/>
          <w:color w:val="auto"/>
        </w:rPr>
        <w:t>cfdi@cfdi.org.cn</w:t>
      </w:r>
    </w:p>
    <w:p>
      <w:pPr>
        <w:pStyle w:val="9"/>
        <w:rPr>
          <w:rFonts w:ascii="微软雅黑" w:hAnsi="微软雅黑" w:eastAsia="微软雅黑" w:cs="宋体"/>
          <w:color w:val="auto"/>
        </w:rPr>
      </w:pPr>
      <w:r>
        <w:rPr>
          <w:rFonts w:hint="eastAsia" w:ascii="微软雅黑" w:hAnsi="微软雅黑" w:eastAsia="微软雅黑" w:cs="宋体"/>
          <w:color w:val="auto"/>
        </w:rPr>
        <w:t>（二）对外办公时间：</w:t>
      </w:r>
    </w:p>
    <w:p>
      <w:pPr>
        <w:pStyle w:val="9"/>
        <w:rPr>
          <w:rFonts w:ascii="微软雅黑" w:hAnsi="微软雅黑" w:eastAsia="微软雅黑" w:cs="Times New Roman"/>
          <w:color w:val="auto"/>
        </w:rPr>
      </w:pPr>
      <w:r>
        <w:rPr>
          <w:rFonts w:hint="eastAsia" w:ascii="微软雅黑" w:hAnsi="微软雅黑" w:eastAsia="微软雅黑" w:cs="宋体"/>
          <w:color w:val="auto"/>
        </w:rPr>
        <w:t>上午</w:t>
      </w:r>
      <w:r>
        <w:rPr>
          <w:rFonts w:ascii="微软雅黑" w:hAnsi="微软雅黑" w:eastAsia="微软雅黑" w:cs="Times New Roman"/>
          <w:color w:val="auto"/>
        </w:rPr>
        <w:t>9:00</w:t>
      </w:r>
      <w:r>
        <w:rPr>
          <w:rFonts w:ascii="微软雅黑" w:hAnsi="微软雅黑" w:eastAsia="微软雅黑" w:cs="宋体"/>
          <w:color w:val="auto"/>
        </w:rPr>
        <w:t>—</w:t>
      </w:r>
      <w:r>
        <w:rPr>
          <w:rFonts w:ascii="微软雅黑" w:hAnsi="微软雅黑" w:eastAsia="微软雅黑" w:cs="Times New Roman"/>
          <w:color w:val="auto"/>
        </w:rPr>
        <w:t xml:space="preserve">11:30  </w:t>
      </w:r>
    </w:p>
    <w:p>
      <w:pPr>
        <w:pStyle w:val="9"/>
        <w:rPr>
          <w:rFonts w:ascii="微软雅黑" w:hAnsi="微软雅黑" w:eastAsia="微软雅黑" w:cs="Times New Roman"/>
          <w:color w:val="auto"/>
        </w:rPr>
      </w:pPr>
      <w:r>
        <w:rPr>
          <w:rFonts w:hint="eastAsia" w:ascii="微软雅黑" w:hAnsi="微软雅黑" w:eastAsia="微软雅黑" w:cs="宋体"/>
          <w:color w:val="auto"/>
        </w:rPr>
        <w:t>下午</w:t>
      </w:r>
      <w:r>
        <w:rPr>
          <w:rFonts w:ascii="微软雅黑" w:hAnsi="微软雅黑" w:eastAsia="微软雅黑" w:cs="Times New Roman"/>
          <w:color w:val="auto"/>
        </w:rPr>
        <w:t>13:00</w:t>
      </w:r>
      <w:r>
        <w:rPr>
          <w:rFonts w:ascii="微软雅黑" w:hAnsi="微软雅黑" w:eastAsia="微软雅黑" w:cs="宋体"/>
          <w:color w:val="auto"/>
        </w:rPr>
        <w:t>—</w:t>
      </w:r>
      <w:r>
        <w:rPr>
          <w:rFonts w:ascii="微软雅黑" w:hAnsi="微软雅黑" w:eastAsia="微软雅黑" w:cs="Times New Roman"/>
          <w:color w:val="auto"/>
        </w:rPr>
        <w:t xml:space="preserve">16:00 </w:t>
      </w:r>
    </w:p>
    <w:p>
      <w:pPr>
        <w:pStyle w:val="9"/>
        <w:rPr>
          <w:rFonts w:ascii="微软雅黑" w:hAnsi="微软雅黑" w:eastAsia="微软雅黑" w:cs="Times New Roman"/>
          <w:b/>
          <w:color w:val="C00000"/>
        </w:rPr>
      </w:pPr>
      <w:r>
        <w:rPr>
          <w:rFonts w:hint="eastAsia" w:ascii="微软雅黑" w:hAnsi="微软雅黑" w:eastAsia="微软雅黑" w:cs="黑体"/>
          <w:b/>
          <w:color w:val="C00000"/>
        </w:rPr>
        <w:t>十</w:t>
      </w:r>
      <w:r>
        <w:rPr>
          <w:rFonts w:ascii="微软雅黑" w:hAnsi="微软雅黑" w:eastAsia="微软雅黑" w:cs="黑体"/>
          <w:b/>
          <w:color w:val="C00000"/>
        </w:rPr>
        <w:t>、</w:t>
      </w:r>
      <w:r>
        <w:rPr>
          <w:rFonts w:hint="eastAsia" w:ascii="微软雅黑" w:hAnsi="微软雅黑" w:eastAsia="微软雅黑" w:cs="黑体"/>
          <w:b/>
          <w:color w:val="C00000"/>
        </w:rPr>
        <w:t>办理基本流程！</w:t>
      </w:r>
    </w:p>
    <w:p>
      <w:pPr>
        <w:rPr>
          <w:rFonts w:ascii="微软雅黑" w:hAnsi="微软雅黑" w:eastAsia="微软雅黑"/>
          <w:sz w:val="24"/>
          <w:szCs w:val="24"/>
        </w:rPr>
      </w:pPr>
      <w:r>
        <w:rPr>
          <w:rFonts w:ascii="微软雅黑" w:hAnsi="微软雅黑" w:eastAsia="微软雅黑"/>
          <w:sz w:val="24"/>
          <w:szCs w:val="24"/>
        </w:rPr>
        <w:drawing>
          <wp:inline distT="0" distB="0" distL="0" distR="0">
            <wp:extent cx="5219700" cy="15811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srcRect l="5109" t="29502" r="4136" b="6897"/>
                    <a:stretch>
                      <a:fillRect/>
                    </a:stretch>
                  </pic:blipFill>
                  <pic:spPr>
                    <a:xfrm>
                      <a:off x="0" y="0"/>
                      <a:ext cx="5219700" cy="1581150"/>
                    </a:xfrm>
                    <a:prstGeom prst="rect">
                      <a:avLst/>
                    </a:prstGeom>
                    <a:noFill/>
                    <a:ln w="9525">
                      <a:noFill/>
                      <a:miter lim="800000"/>
                      <a:headEnd/>
                      <a:tailEnd/>
                    </a:ln>
                  </pic:spPr>
                </pic:pic>
              </a:graphicData>
            </a:graphic>
          </wp:inline>
        </w:drawing>
      </w:r>
    </w:p>
    <w:p>
      <w:pPr>
        <w:pStyle w:val="9"/>
        <w:rPr>
          <w:rFonts w:ascii="微软雅黑" w:hAnsi="微软雅黑" w:eastAsia="微软雅黑" w:cs="黑体"/>
          <w:color w:val="auto"/>
        </w:rPr>
      </w:pPr>
      <w:r>
        <w:rPr>
          <w:rFonts w:ascii="微软雅黑" w:hAnsi="微软雅黑" w:eastAsia="微软雅黑" w:cs="黑体"/>
          <w:color w:val="auto"/>
        </w:rPr>
        <w:t>十一、办理方式</w:t>
      </w:r>
    </w:p>
    <w:p>
      <w:pPr>
        <w:pStyle w:val="9"/>
        <w:rPr>
          <w:rFonts w:ascii="微软雅黑" w:hAnsi="微软雅黑" w:eastAsia="微软雅黑" w:cs="宋体"/>
          <w:color w:val="auto"/>
        </w:rPr>
      </w:pPr>
      <w:r>
        <w:rPr>
          <w:rFonts w:hint="eastAsia" w:ascii="微软雅黑" w:hAnsi="微软雅黑" w:eastAsia="微软雅黑" w:cs="宋体"/>
          <w:color w:val="auto"/>
        </w:rPr>
        <w:t>（一）受理：申请机构在国家食品药品监督管理总局网站上登陆药物临床试验机构资格认定电子申请系统，在线填报申请书和申请资料。电子申请完成后将纸质资料寄至国家食品药品监督管理总局食品药品审核查验中心，形式审查后作出是否受理的决定，并书面通知申请机构及其所在地省级食品药品监督管理局和卫生计生委。</w:t>
      </w:r>
    </w:p>
    <w:p>
      <w:pPr>
        <w:pStyle w:val="9"/>
        <w:rPr>
          <w:rFonts w:ascii="微软雅黑" w:hAnsi="微软雅黑" w:eastAsia="微软雅黑" w:cs="宋体"/>
          <w:color w:val="auto"/>
        </w:rPr>
      </w:pPr>
      <w:r>
        <w:rPr>
          <w:rFonts w:hint="eastAsia" w:ascii="微软雅黑" w:hAnsi="微软雅黑" w:eastAsia="微软雅黑" w:cs="宋体"/>
          <w:color w:val="auto"/>
        </w:rPr>
        <w:t>（二）现场检查：申报资料受理审查符合要求的，由检查组实施现场检查。现场检查结束时，国家食品药品监督管理总局食品药品审核查验中心组织检查组将检查结果录入药物临床试验资格认定数据库，对现场检查情况进行综合分析评定，提出资格认定的检查意见，报国家食品药品监督管理总局。</w:t>
      </w:r>
    </w:p>
    <w:p>
      <w:pPr>
        <w:pStyle w:val="9"/>
        <w:rPr>
          <w:rFonts w:ascii="微软雅黑" w:hAnsi="微软雅黑" w:eastAsia="微软雅黑" w:cs="宋体"/>
          <w:color w:val="auto"/>
        </w:rPr>
      </w:pPr>
      <w:r>
        <w:rPr>
          <w:rFonts w:hint="eastAsia" w:ascii="微软雅黑" w:hAnsi="微软雅黑" w:eastAsia="微软雅黑" w:cs="宋体"/>
          <w:color w:val="auto"/>
        </w:rPr>
        <w:t>（三）审核：国家食品药品监督管理总局会同国家卫生和计划生育委员会对资格认定的检查意见进行审核，并将审核结果书面通知被检查机构及其所在地省级食品药品监督管理局和卫生计生委。</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（四）发布公告：国家食品药品监督管理总局对通过资格认定的医疗机构，予以公告并颁发证书。</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十二、审批时限</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45</w:t>
      </w:r>
      <w:r>
        <w:rPr>
          <w:rFonts w:hint="eastAsia" w:ascii="微软雅黑" w:hAnsi="微软雅黑" w:eastAsia="微软雅黑" w:cs="宋体"/>
          <w:sz w:val="24"/>
          <w:szCs w:val="24"/>
        </w:rPr>
        <w:t>个工作日。</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十三、审批收费依据及标准</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不收费。</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十四、审批结果</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许可证件有效期限：</w:t>
      </w:r>
      <w:r>
        <w:rPr>
          <w:rFonts w:ascii="微软雅黑" w:hAnsi="微软雅黑" w:eastAsia="微软雅黑" w:cs="宋体"/>
          <w:sz w:val="24"/>
          <w:szCs w:val="24"/>
        </w:rPr>
        <w:t>3</w:t>
      </w:r>
      <w:r>
        <w:rPr>
          <w:rFonts w:hint="eastAsia" w:ascii="微软雅黑" w:hAnsi="微软雅黑" w:eastAsia="微软雅黑" w:cs="宋体"/>
          <w:sz w:val="24"/>
          <w:szCs w:val="24"/>
        </w:rPr>
        <w:t>年。</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许可年审或年检：无。</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十五、结果送达</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国家食品药品监督管理总局行政事项受理服务和投诉举报中心（简称受理和举报中心）</w:t>
      </w:r>
      <w:r>
        <w:rPr>
          <w:rFonts w:ascii="微软雅黑" w:hAnsi="微软雅黑" w:eastAsia="微软雅黑" w:cs="宋体"/>
          <w:sz w:val="24"/>
          <w:szCs w:val="24"/>
        </w:rPr>
        <w:t>10</w:t>
      </w:r>
      <w:r>
        <w:rPr>
          <w:rFonts w:hint="eastAsia" w:ascii="微软雅黑" w:hAnsi="微软雅黑" w:eastAsia="微软雅黑" w:cs="宋体"/>
          <w:sz w:val="24"/>
          <w:szCs w:val="24"/>
        </w:rPr>
        <w:t>个工作日完成。</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十六、申请人权利和义务</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（一）依据《中华人民共和国行政许可法》，申请人依法享有以下权利：</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l.</w:t>
      </w:r>
      <w:r>
        <w:rPr>
          <w:rFonts w:hint="eastAsia" w:ascii="微软雅黑" w:hAnsi="微软雅黑" w:eastAsia="微软雅黑" w:cs="宋体"/>
          <w:sz w:val="24"/>
          <w:szCs w:val="24"/>
        </w:rPr>
        <w:t>依法取得行政许可的平等权利；</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2.</w:t>
      </w:r>
      <w:r>
        <w:rPr>
          <w:rFonts w:hint="eastAsia" w:ascii="微软雅黑" w:hAnsi="微软雅黑" w:eastAsia="微软雅黑" w:cs="宋体"/>
          <w:sz w:val="24"/>
          <w:szCs w:val="24"/>
        </w:rPr>
        <w:t>对行政机关实施行政许可，享有陈述权、申辩权；</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3.</w:t>
      </w:r>
      <w:r>
        <w:rPr>
          <w:rFonts w:hint="eastAsia" w:ascii="微软雅黑" w:hAnsi="微软雅黑" w:eastAsia="微软雅黑" w:cs="宋体"/>
          <w:sz w:val="24"/>
          <w:szCs w:val="24"/>
        </w:rPr>
        <w:t>依法申请行政复议或者提起行政诉讼；</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4.</w:t>
      </w:r>
      <w:r>
        <w:rPr>
          <w:rFonts w:hint="eastAsia" w:ascii="微软雅黑" w:hAnsi="微软雅黑" w:eastAsia="微软雅黑" w:cs="宋体"/>
          <w:sz w:val="24"/>
          <w:szCs w:val="24"/>
        </w:rPr>
        <w:t>合法权益因行政机关违法实施行政许可受到损害的，有权依法要求赔偿。</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（二）依据《中华人民共和国行政许可法》，申请人依法履行以下义务：</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1.</w:t>
      </w:r>
      <w:r>
        <w:rPr>
          <w:rFonts w:hint="eastAsia" w:ascii="微软雅黑" w:hAnsi="微软雅黑" w:eastAsia="微软雅黑" w:cs="宋体"/>
          <w:sz w:val="24"/>
          <w:szCs w:val="24"/>
        </w:rPr>
        <w:t>对申请材料实质内容的真实性负责；</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2.</w:t>
      </w:r>
      <w:r>
        <w:rPr>
          <w:rFonts w:hint="eastAsia" w:ascii="微软雅黑" w:hAnsi="微软雅黑" w:eastAsia="微软雅黑" w:cs="宋体"/>
          <w:sz w:val="24"/>
          <w:szCs w:val="24"/>
        </w:rPr>
        <w:t>依法开展取得行政许可的活动；</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3.</w:t>
      </w:r>
      <w:r>
        <w:rPr>
          <w:rFonts w:hint="eastAsia" w:ascii="微软雅黑" w:hAnsi="微软雅黑" w:eastAsia="微软雅黑" w:cs="宋体"/>
          <w:sz w:val="24"/>
          <w:szCs w:val="24"/>
        </w:rPr>
        <w:t>如实向负责监督检查的行政机关提供有关情况和材料。</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（三）申请人应当履行《中华人民共和国药品管理法》《中华人民共和国药品管理法实施条例》等规定的相应义务。</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十七、咨询途径</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（一）窗口咨询；</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（二）电话咨询；</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（三）电子邮件咨询；</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（四）信函咨询。</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部门名称：国家食品药品监督管理总局食品药品审核查验中心</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接收地址：北京市西城区宣武门西大街28</w:t>
      </w:r>
      <w:r>
        <w:rPr>
          <w:rFonts w:hint="eastAsia" w:ascii="微软雅黑" w:hAnsi="微软雅黑" w:eastAsia="微软雅黑" w:cs="宋体"/>
          <w:sz w:val="24"/>
          <w:szCs w:val="24"/>
        </w:rPr>
        <w:t>号大成广场</w:t>
      </w:r>
      <w:r>
        <w:rPr>
          <w:rFonts w:ascii="微软雅黑" w:hAnsi="微软雅黑" w:eastAsia="微软雅黑" w:cs="宋体"/>
          <w:sz w:val="24"/>
          <w:szCs w:val="24"/>
        </w:rPr>
        <w:t>3</w:t>
      </w:r>
      <w:r>
        <w:rPr>
          <w:rFonts w:hint="eastAsia" w:ascii="微软雅黑" w:hAnsi="微软雅黑" w:eastAsia="微软雅黑" w:cs="宋体"/>
          <w:sz w:val="24"/>
          <w:szCs w:val="24"/>
        </w:rPr>
        <w:t>门一层（总局办公大楼西侧）</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邮政编码：</w:t>
      </w:r>
      <w:r>
        <w:rPr>
          <w:rFonts w:ascii="微软雅黑" w:hAnsi="微软雅黑" w:eastAsia="微软雅黑" w:cs="宋体"/>
          <w:sz w:val="24"/>
          <w:szCs w:val="24"/>
        </w:rPr>
        <w:t>100053</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联系电话：</w:t>
      </w:r>
      <w:r>
        <w:rPr>
          <w:rFonts w:ascii="微软雅黑" w:hAnsi="微软雅黑" w:eastAsia="微软雅黑" w:cs="宋体"/>
          <w:sz w:val="24"/>
          <w:szCs w:val="24"/>
        </w:rPr>
        <w:t>010-88331866</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电子邮箱：</w:t>
      </w:r>
      <w:r>
        <w:rPr>
          <w:rFonts w:ascii="微软雅黑" w:hAnsi="微软雅黑" w:eastAsia="微软雅黑" w:cs="宋体"/>
          <w:sz w:val="24"/>
          <w:szCs w:val="24"/>
        </w:rPr>
        <w:t xml:space="preserve">cfdi@cfdi.org.cn </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十八、监督和投诉渠道</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部门名称：国家食品药品监督管理总局行政事项受理服务和投诉举报中心</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通讯地址：北京市海淀区莲花池东路</w:t>
      </w:r>
      <w:r>
        <w:rPr>
          <w:rFonts w:ascii="微软雅黑" w:hAnsi="微软雅黑" w:eastAsia="微软雅黑" w:cs="宋体"/>
          <w:sz w:val="24"/>
          <w:szCs w:val="24"/>
        </w:rPr>
        <w:t>39</w:t>
      </w:r>
      <w:r>
        <w:rPr>
          <w:rFonts w:hint="eastAsia" w:ascii="微软雅黑" w:hAnsi="微软雅黑" w:eastAsia="微软雅黑" w:cs="宋体"/>
          <w:sz w:val="24"/>
          <w:szCs w:val="24"/>
        </w:rPr>
        <w:t>号西金大厦七层</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邮政编码：</w:t>
      </w:r>
      <w:r>
        <w:rPr>
          <w:rFonts w:ascii="微软雅黑" w:hAnsi="微软雅黑" w:eastAsia="微软雅黑" w:cs="宋体"/>
          <w:sz w:val="24"/>
          <w:szCs w:val="24"/>
        </w:rPr>
        <w:t>100036</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电话：</w:t>
      </w:r>
      <w:r>
        <w:rPr>
          <w:rFonts w:ascii="微软雅黑" w:hAnsi="微软雅黑" w:eastAsia="微软雅黑" w:cs="宋体"/>
          <w:sz w:val="24"/>
          <w:szCs w:val="24"/>
        </w:rPr>
        <w:t>12331</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十九、办公地址和时间</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国家食品药品监督管理总局食品药品审核查验中心</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办公地址：北京市东城区法华南里小区</w:t>
      </w:r>
      <w:r>
        <w:rPr>
          <w:rFonts w:ascii="微软雅黑" w:hAnsi="微软雅黑" w:eastAsia="微软雅黑" w:cs="宋体"/>
          <w:sz w:val="24"/>
          <w:szCs w:val="24"/>
        </w:rPr>
        <w:t>11</w:t>
      </w:r>
      <w:r>
        <w:rPr>
          <w:rFonts w:hint="eastAsia" w:ascii="微软雅黑" w:hAnsi="微软雅黑" w:eastAsia="微软雅黑" w:cs="宋体"/>
          <w:sz w:val="24"/>
          <w:szCs w:val="24"/>
        </w:rPr>
        <w:t>号楼三层</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对外办公时间：</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上午</w:t>
      </w:r>
      <w:r>
        <w:rPr>
          <w:rFonts w:ascii="微软雅黑" w:hAnsi="微软雅黑" w:eastAsia="微软雅黑" w:cs="宋体"/>
          <w:sz w:val="24"/>
          <w:szCs w:val="24"/>
        </w:rPr>
        <w:t xml:space="preserve">9:00—11:30  </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下午</w:t>
      </w:r>
      <w:r>
        <w:rPr>
          <w:rFonts w:ascii="微软雅黑" w:hAnsi="微软雅黑" w:eastAsia="微软雅黑" w:cs="宋体"/>
          <w:sz w:val="24"/>
          <w:szCs w:val="24"/>
        </w:rPr>
        <w:t>13:00—16:00</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二十、公开查询</w:t>
      </w:r>
    </w:p>
    <w:p>
      <w:pPr>
        <w:autoSpaceDE w:val="0"/>
        <w:autoSpaceDN w:val="0"/>
        <w:adjustRightInd w:val="0"/>
        <w:jc w:val="left"/>
        <w:rPr>
          <w:rFonts w:ascii="微软雅黑" w:hAnsi="微软雅黑" w:eastAsia="微软雅黑" w:cs="宋体"/>
          <w:sz w:val="24"/>
          <w:szCs w:val="24"/>
        </w:rPr>
      </w:pPr>
      <w:r>
        <w:rPr>
          <w:rFonts w:hint="eastAsia" w:ascii="微软雅黑" w:hAnsi="微软雅黑" w:eastAsia="微软雅黑" w:cs="宋体"/>
          <w:sz w:val="24"/>
          <w:szCs w:val="24"/>
        </w:rPr>
        <w:t>可通过国家食品药品监督管理总局网站</w:t>
      </w:r>
      <w:r>
        <w:rPr>
          <w:rFonts w:ascii="微软雅黑" w:hAnsi="微软雅黑" w:eastAsia="微软雅黑" w:cs="宋体"/>
          <w:sz w:val="24"/>
          <w:szCs w:val="24"/>
        </w:rPr>
        <w:t>http://www.cfda.gov.cn</w:t>
      </w:r>
      <w:r>
        <w:rPr>
          <w:rFonts w:hint="eastAsia" w:ascii="微软雅黑" w:hAnsi="微软雅黑" w:eastAsia="微软雅黑" w:cs="宋体"/>
          <w:sz w:val="24"/>
          <w:szCs w:val="24"/>
        </w:rPr>
        <w:t>或国家食品药品监督管理总局食品药品审核查验中心网站</w:t>
      </w:r>
      <w:r>
        <w:rPr>
          <w:rFonts w:ascii="微软雅黑" w:hAnsi="微软雅黑" w:eastAsia="微软雅黑" w:cs="宋体"/>
          <w:sz w:val="24"/>
          <w:szCs w:val="24"/>
        </w:rPr>
        <w:t>www.cfdi.org.cn</w:t>
      </w:r>
      <w:r>
        <w:rPr>
          <w:rFonts w:hint="eastAsia" w:ascii="微软雅黑" w:hAnsi="微软雅黑" w:eastAsia="微软雅黑" w:cs="宋体"/>
          <w:sz w:val="24"/>
          <w:szCs w:val="24"/>
        </w:rPr>
        <w:t>查询审批状态和结果。</w:t>
      </w:r>
    </w:p>
    <w:p>
      <w:pPr>
        <w:autoSpaceDE w:val="0"/>
        <w:autoSpaceDN w:val="0"/>
        <w:adjustRightInd w:val="0"/>
        <w:jc w:val="left"/>
        <w:rPr>
          <w:rFonts w:ascii="微软雅黑" w:hAnsi="微软雅黑" w:eastAsia="微软雅黑" w:cs="宋体"/>
          <w:sz w:val="24"/>
          <w:szCs w:val="24"/>
        </w:rPr>
      </w:pPr>
      <w:r>
        <w:rPr>
          <w:rFonts w:ascii="微软雅黑" w:hAnsi="微软雅黑" w:eastAsia="微软雅黑" w:cs="宋体"/>
          <w:sz w:val="24"/>
          <w:szCs w:val="24"/>
        </w:rPr>
        <w:t>二十一、实施日期</w:t>
      </w:r>
    </w:p>
    <w:p>
      <w:pPr>
        <w:pStyle w:val="9"/>
        <w:rPr>
          <w:rFonts w:hint="eastAsia" w:ascii="微软雅黑" w:hAnsi="微软雅黑" w:eastAsia="微软雅黑" w:cs="宋体"/>
          <w:color w:val="auto"/>
          <w:kern w:val="2"/>
        </w:rPr>
      </w:pPr>
      <w:r>
        <w:rPr>
          <w:rFonts w:hint="eastAsia" w:ascii="微软雅黑" w:hAnsi="微软雅黑" w:eastAsia="微软雅黑" w:cs="宋体"/>
          <w:color w:val="auto"/>
          <w:kern w:val="2"/>
        </w:rPr>
        <w:t>自</w:t>
      </w:r>
      <w:r>
        <w:rPr>
          <w:rFonts w:ascii="微软雅黑" w:hAnsi="微软雅黑" w:eastAsia="微软雅黑" w:cs="宋体"/>
          <w:color w:val="auto"/>
          <w:kern w:val="2"/>
        </w:rPr>
        <w:t>2017</w:t>
      </w:r>
      <w:r>
        <w:rPr>
          <w:rFonts w:hint="eastAsia" w:ascii="微软雅黑" w:hAnsi="微软雅黑" w:eastAsia="微软雅黑" w:cs="宋体"/>
          <w:color w:val="auto"/>
          <w:kern w:val="2"/>
        </w:rPr>
        <w:t>年</w:t>
      </w:r>
      <w:r>
        <w:rPr>
          <w:rFonts w:ascii="微软雅黑" w:hAnsi="微软雅黑" w:eastAsia="微软雅黑" w:cs="宋体"/>
          <w:color w:val="auto"/>
          <w:kern w:val="2"/>
        </w:rPr>
        <w:t>12</w:t>
      </w:r>
      <w:r>
        <w:rPr>
          <w:rFonts w:hint="eastAsia" w:ascii="微软雅黑" w:hAnsi="微软雅黑" w:eastAsia="微软雅黑" w:cs="宋体"/>
          <w:color w:val="auto"/>
          <w:kern w:val="2"/>
        </w:rPr>
        <w:t>月</w:t>
      </w:r>
      <w:r>
        <w:rPr>
          <w:rFonts w:ascii="微软雅黑" w:hAnsi="微软雅黑" w:eastAsia="微软雅黑" w:cs="宋体"/>
          <w:color w:val="auto"/>
          <w:kern w:val="2"/>
        </w:rPr>
        <w:t>1</w:t>
      </w:r>
      <w:r>
        <w:rPr>
          <w:rFonts w:hint="eastAsia" w:ascii="微软雅黑" w:hAnsi="微软雅黑" w:eastAsia="微软雅黑" w:cs="宋体"/>
          <w:color w:val="auto"/>
          <w:kern w:val="2"/>
        </w:rPr>
        <w:t>日起施行。</w:t>
      </w:r>
    </w:p>
    <w:p>
      <w:pPr>
        <w:pStyle w:val="9"/>
        <w:rPr>
          <w:rFonts w:hint="eastAsia" w:ascii="微软雅黑" w:hAnsi="微软雅黑" w:eastAsia="微软雅黑" w:cs="宋体"/>
          <w:color w:val="auto"/>
          <w:kern w:val="2"/>
        </w:rPr>
      </w:pPr>
    </w:p>
    <w:p>
      <w:pPr>
        <w:pStyle w:val="9"/>
        <w:jc w:val="center"/>
        <w:rPr>
          <w:rFonts w:ascii="微软雅黑" w:hAnsi="微软雅黑" w:eastAsia="微软雅黑"/>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ZXiaoBiaoSong-B05S">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F7895"/>
    <w:rsid w:val="0001344D"/>
    <w:rsid w:val="00021090"/>
    <w:rsid w:val="0002770E"/>
    <w:rsid w:val="00046ACE"/>
    <w:rsid w:val="00050B6D"/>
    <w:rsid w:val="0006736B"/>
    <w:rsid w:val="00081268"/>
    <w:rsid w:val="00094F3D"/>
    <w:rsid w:val="000B1152"/>
    <w:rsid w:val="00116894"/>
    <w:rsid w:val="00144D2E"/>
    <w:rsid w:val="00145CCA"/>
    <w:rsid w:val="00182D96"/>
    <w:rsid w:val="00190F22"/>
    <w:rsid w:val="001A4136"/>
    <w:rsid w:val="001B08EA"/>
    <w:rsid w:val="001D0DD9"/>
    <w:rsid w:val="001E1F5D"/>
    <w:rsid w:val="001E2497"/>
    <w:rsid w:val="001E5502"/>
    <w:rsid w:val="001F3C73"/>
    <w:rsid w:val="00206623"/>
    <w:rsid w:val="00206D58"/>
    <w:rsid w:val="002144CC"/>
    <w:rsid w:val="00246D32"/>
    <w:rsid w:val="002657A7"/>
    <w:rsid w:val="002820FB"/>
    <w:rsid w:val="002B2478"/>
    <w:rsid w:val="002C6BFB"/>
    <w:rsid w:val="002F213F"/>
    <w:rsid w:val="00305EAC"/>
    <w:rsid w:val="00374A71"/>
    <w:rsid w:val="003A61F9"/>
    <w:rsid w:val="003A7984"/>
    <w:rsid w:val="003B010A"/>
    <w:rsid w:val="003C0ACD"/>
    <w:rsid w:val="003C4F7A"/>
    <w:rsid w:val="003D40FC"/>
    <w:rsid w:val="00464E39"/>
    <w:rsid w:val="00466B49"/>
    <w:rsid w:val="004B42BE"/>
    <w:rsid w:val="004C0255"/>
    <w:rsid w:val="004C7634"/>
    <w:rsid w:val="004F45C8"/>
    <w:rsid w:val="00510AF7"/>
    <w:rsid w:val="0051543A"/>
    <w:rsid w:val="005154E9"/>
    <w:rsid w:val="00523236"/>
    <w:rsid w:val="00554A2D"/>
    <w:rsid w:val="00572B9C"/>
    <w:rsid w:val="005B6201"/>
    <w:rsid w:val="005C3349"/>
    <w:rsid w:val="005C4217"/>
    <w:rsid w:val="005D251C"/>
    <w:rsid w:val="005F1A15"/>
    <w:rsid w:val="00601E7E"/>
    <w:rsid w:val="00632176"/>
    <w:rsid w:val="006557C9"/>
    <w:rsid w:val="00672579"/>
    <w:rsid w:val="00681644"/>
    <w:rsid w:val="006957AB"/>
    <w:rsid w:val="006A070B"/>
    <w:rsid w:val="006A480E"/>
    <w:rsid w:val="006B3620"/>
    <w:rsid w:val="006B732D"/>
    <w:rsid w:val="006D4100"/>
    <w:rsid w:val="006F7895"/>
    <w:rsid w:val="00710B50"/>
    <w:rsid w:val="007172E7"/>
    <w:rsid w:val="007379F8"/>
    <w:rsid w:val="00746DDF"/>
    <w:rsid w:val="00766F22"/>
    <w:rsid w:val="007844A9"/>
    <w:rsid w:val="007E7EEB"/>
    <w:rsid w:val="008116A6"/>
    <w:rsid w:val="00821504"/>
    <w:rsid w:val="0083097C"/>
    <w:rsid w:val="0083277B"/>
    <w:rsid w:val="008539F6"/>
    <w:rsid w:val="00881A64"/>
    <w:rsid w:val="00885023"/>
    <w:rsid w:val="008B1D95"/>
    <w:rsid w:val="008F0B66"/>
    <w:rsid w:val="008F5DBB"/>
    <w:rsid w:val="00927C84"/>
    <w:rsid w:val="00932785"/>
    <w:rsid w:val="00936109"/>
    <w:rsid w:val="009509D5"/>
    <w:rsid w:val="009757D6"/>
    <w:rsid w:val="009769AC"/>
    <w:rsid w:val="00987139"/>
    <w:rsid w:val="009A4E96"/>
    <w:rsid w:val="009D12EA"/>
    <w:rsid w:val="009E6041"/>
    <w:rsid w:val="00A03ABE"/>
    <w:rsid w:val="00A41630"/>
    <w:rsid w:val="00A54858"/>
    <w:rsid w:val="00A753F7"/>
    <w:rsid w:val="00A94908"/>
    <w:rsid w:val="00AB7E08"/>
    <w:rsid w:val="00B32614"/>
    <w:rsid w:val="00B76ED4"/>
    <w:rsid w:val="00B85344"/>
    <w:rsid w:val="00BA6C48"/>
    <w:rsid w:val="00BB27F7"/>
    <w:rsid w:val="00BD2CCA"/>
    <w:rsid w:val="00C01E06"/>
    <w:rsid w:val="00C17289"/>
    <w:rsid w:val="00C22626"/>
    <w:rsid w:val="00C33630"/>
    <w:rsid w:val="00C57E64"/>
    <w:rsid w:val="00C94F46"/>
    <w:rsid w:val="00CA0A97"/>
    <w:rsid w:val="00CA60BB"/>
    <w:rsid w:val="00CE01A3"/>
    <w:rsid w:val="00CF2E74"/>
    <w:rsid w:val="00CF54EA"/>
    <w:rsid w:val="00D00F8C"/>
    <w:rsid w:val="00D03E3A"/>
    <w:rsid w:val="00D236CB"/>
    <w:rsid w:val="00D33536"/>
    <w:rsid w:val="00D962A0"/>
    <w:rsid w:val="00DA42FB"/>
    <w:rsid w:val="00DA4822"/>
    <w:rsid w:val="00DC4CDD"/>
    <w:rsid w:val="00DF69DF"/>
    <w:rsid w:val="00E26B80"/>
    <w:rsid w:val="00E578FC"/>
    <w:rsid w:val="00E7726D"/>
    <w:rsid w:val="00E93354"/>
    <w:rsid w:val="00EB3394"/>
    <w:rsid w:val="00EC13DA"/>
    <w:rsid w:val="00EC76FA"/>
    <w:rsid w:val="00EF122A"/>
    <w:rsid w:val="00EF39A5"/>
    <w:rsid w:val="00F10E64"/>
    <w:rsid w:val="00F45B74"/>
    <w:rsid w:val="00F533EC"/>
    <w:rsid w:val="00F61A26"/>
    <w:rsid w:val="00F9052C"/>
    <w:rsid w:val="00F96104"/>
    <w:rsid w:val="00FC09D0"/>
    <w:rsid w:val="00FD44E2"/>
    <w:rsid w:val="00FE6997"/>
    <w:rsid w:val="00FF6777"/>
    <w:rsid w:val="00FF7420"/>
    <w:rsid w:val="75E94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paragraph" w:customStyle="1" w:styleId="9">
    <w:name w:val="Default"/>
    <w:qFormat/>
    <w:uiPriority w:val="0"/>
    <w:pPr>
      <w:widowControl w:val="0"/>
      <w:autoSpaceDE w:val="0"/>
      <w:autoSpaceDN w:val="0"/>
      <w:adjustRightInd w:val="0"/>
    </w:pPr>
    <w:rPr>
      <w:rFonts w:ascii="FZXiaoBiaoSong-B05S" w:eastAsia="FZXiaoBiaoSong-B05S" w:cs="FZXiaoBiaoSong-B05S" w:hAnsiTheme="minorHAnsi"/>
      <w:color w:val="000000"/>
      <w:kern w:val="0"/>
      <w:sz w:val="24"/>
      <w:szCs w:val="24"/>
      <w:lang w:val="en-US" w:eastAsia="zh-CN" w:bidi="ar-SA"/>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477</Words>
  <Characters>2724</Characters>
  <Lines>22</Lines>
  <Paragraphs>6</Paragraphs>
  <TotalTime>33</TotalTime>
  <ScaleCrop>false</ScaleCrop>
  <LinksUpToDate>false</LinksUpToDate>
  <CharactersWithSpaces>3195</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2018-01-11T14:31:00Z</dcterms:created>
  <dc:creator>dell</dc:creator>
  <cp:lastModifiedBy>英度国际医疗</cp:lastModifiedBy>
  <dcterms:modified xsi:type="dcterms:W3CDTF">2018-07-05T03:56:07Z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