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D9" w:rsidRDefault="006F5CD9" w:rsidP="006F5CD9">
      <w:pPr>
        <w:rPr>
          <w:rFonts w:ascii="黑体" w:eastAsia="黑体"/>
          <w:sz w:val="32"/>
          <w:szCs w:val="32"/>
        </w:rPr>
      </w:pPr>
      <w:r w:rsidRPr="00AD62AD">
        <w:rPr>
          <w:rFonts w:ascii="黑体" w:eastAsia="黑体" w:hint="eastAsia"/>
          <w:sz w:val="32"/>
          <w:szCs w:val="32"/>
        </w:rPr>
        <w:t>附件</w:t>
      </w:r>
    </w:p>
    <w:p w:rsidR="006F5CD9" w:rsidRDefault="006F5CD9" w:rsidP="006F5CD9">
      <w:pPr>
        <w:autoSpaceDE w:val="0"/>
        <w:autoSpaceDN w:val="0"/>
        <w:adjustRightInd w:val="0"/>
        <w:spacing w:line="1000" w:lineRule="exact"/>
        <w:jc w:val="center"/>
        <w:rPr>
          <w:rFonts w:eastAsia="方正小标宋简体"/>
          <w:kern w:val="0"/>
          <w:sz w:val="44"/>
          <w:szCs w:val="44"/>
        </w:rPr>
      </w:pPr>
    </w:p>
    <w:p w:rsidR="006F5CD9" w:rsidRDefault="006F5CD9" w:rsidP="006F5CD9">
      <w:pPr>
        <w:autoSpaceDE w:val="0"/>
        <w:autoSpaceDN w:val="0"/>
        <w:adjustRightInd w:val="0"/>
        <w:spacing w:line="600" w:lineRule="exact"/>
        <w:jc w:val="center"/>
        <w:rPr>
          <w:rFonts w:eastAsia="方正小标宋简体"/>
          <w:kern w:val="0"/>
          <w:sz w:val="44"/>
          <w:szCs w:val="44"/>
        </w:rPr>
      </w:pPr>
      <w:r>
        <w:rPr>
          <w:rFonts w:eastAsia="方正小标宋简体"/>
          <w:kern w:val="0"/>
          <w:sz w:val="44"/>
          <w:szCs w:val="44"/>
        </w:rPr>
        <w:t>仿制药质量和疗效一致性评价临床</w:t>
      </w:r>
    </w:p>
    <w:p w:rsidR="006F5CD9" w:rsidRDefault="006F5CD9" w:rsidP="006F5CD9">
      <w:pPr>
        <w:autoSpaceDE w:val="0"/>
        <w:autoSpaceDN w:val="0"/>
        <w:adjustRightInd w:val="0"/>
        <w:spacing w:line="600" w:lineRule="exact"/>
        <w:jc w:val="center"/>
        <w:rPr>
          <w:rFonts w:eastAsia="方正小标宋简体"/>
          <w:kern w:val="0"/>
          <w:sz w:val="44"/>
          <w:szCs w:val="44"/>
        </w:rPr>
      </w:pPr>
      <w:r>
        <w:rPr>
          <w:rFonts w:eastAsia="方正小标宋简体"/>
          <w:kern w:val="0"/>
          <w:sz w:val="44"/>
          <w:szCs w:val="44"/>
        </w:rPr>
        <w:t>有效性试验一般考虑</w:t>
      </w:r>
    </w:p>
    <w:p w:rsidR="006F5CD9" w:rsidRDefault="006F5CD9" w:rsidP="006F5CD9">
      <w:pPr>
        <w:autoSpaceDE w:val="0"/>
        <w:autoSpaceDN w:val="0"/>
        <w:adjustRightInd w:val="0"/>
        <w:spacing w:line="560" w:lineRule="exact"/>
        <w:ind w:firstLineChars="200" w:firstLine="600"/>
        <w:outlineLvl w:val="0"/>
        <w:rPr>
          <w:rFonts w:eastAsia="黑体"/>
          <w:kern w:val="0"/>
          <w:sz w:val="30"/>
          <w:szCs w:val="30"/>
        </w:rPr>
      </w:pPr>
      <w:bookmarkStart w:id="0" w:name="Pg2"/>
      <w:bookmarkStart w:id="1" w:name="Pg3"/>
      <w:bookmarkEnd w:id="0"/>
      <w:bookmarkEnd w:id="1"/>
    </w:p>
    <w:p w:rsidR="006F5CD9" w:rsidRDefault="006F5CD9" w:rsidP="006F5CD9">
      <w:pPr>
        <w:autoSpaceDE w:val="0"/>
        <w:autoSpaceDN w:val="0"/>
        <w:adjustRightInd w:val="0"/>
        <w:spacing w:line="660" w:lineRule="exact"/>
        <w:ind w:firstLineChars="200" w:firstLine="640"/>
        <w:outlineLvl w:val="0"/>
        <w:rPr>
          <w:rFonts w:eastAsia="黑体"/>
          <w:kern w:val="0"/>
          <w:sz w:val="32"/>
          <w:szCs w:val="32"/>
        </w:rPr>
      </w:pPr>
      <w:r>
        <w:rPr>
          <w:rFonts w:eastAsia="黑体"/>
          <w:kern w:val="0"/>
          <w:sz w:val="32"/>
          <w:szCs w:val="32"/>
        </w:rPr>
        <w:t>一、适用范围</w:t>
      </w:r>
    </w:p>
    <w:p w:rsidR="006F5CD9" w:rsidRDefault="006F5CD9" w:rsidP="006F5CD9">
      <w:pPr>
        <w:autoSpaceDE w:val="0"/>
        <w:autoSpaceDN w:val="0"/>
        <w:adjustRightInd w:val="0"/>
        <w:spacing w:line="660" w:lineRule="exact"/>
        <w:ind w:firstLineChars="200" w:firstLine="640"/>
        <w:outlineLvl w:val="0"/>
        <w:rPr>
          <w:rFonts w:eastAsia="仿宋_GB2312"/>
          <w:kern w:val="0"/>
          <w:sz w:val="32"/>
          <w:szCs w:val="32"/>
        </w:rPr>
      </w:pPr>
      <w:r>
        <w:rPr>
          <w:rFonts w:eastAsia="仿宋_GB2312"/>
          <w:kern w:val="0"/>
          <w:sz w:val="32"/>
          <w:szCs w:val="32"/>
        </w:rPr>
        <w:t>为贯彻《国务院关于改革药品医疗器械审评审批制度的意见》（国</w:t>
      </w:r>
      <w:r>
        <w:rPr>
          <w:rFonts w:eastAsia="仿宋_GB2312" w:hint="eastAsia"/>
          <w:kern w:val="0"/>
          <w:sz w:val="32"/>
          <w:szCs w:val="32"/>
        </w:rPr>
        <w:t>发</w:t>
      </w:r>
      <w:r w:rsidRPr="00AB371F">
        <w:rPr>
          <w:rFonts w:eastAsia="仿宋_GB2312" w:hint="eastAsia"/>
          <w:kern w:val="0"/>
          <w:sz w:val="32"/>
          <w:szCs w:val="32"/>
        </w:rPr>
        <w:t>〔</w:t>
      </w:r>
      <w:r>
        <w:rPr>
          <w:rFonts w:eastAsia="仿宋_GB2312"/>
          <w:kern w:val="0"/>
          <w:sz w:val="32"/>
          <w:szCs w:val="32"/>
        </w:rPr>
        <w:t>2015</w:t>
      </w:r>
      <w:r w:rsidRPr="00AB371F">
        <w:rPr>
          <w:rFonts w:eastAsia="仿宋_GB2312" w:hint="eastAsia"/>
          <w:kern w:val="0"/>
          <w:sz w:val="32"/>
          <w:szCs w:val="32"/>
        </w:rPr>
        <w:t>〕</w:t>
      </w:r>
      <w:r>
        <w:rPr>
          <w:rFonts w:eastAsia="仿宋_GB2312"/>
          <w:kern w:val="0"/>
          <w:sz w:val="32"/>
          <w:szCs w:val="32"/>
        </w:rPr>
        <w:t>44</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《国务院办公厅关于开展仿制药质量和疗效一致性评价的意见》（国办发</w:t>
      </w:r>
      <w:r w:rsidRPr="00AB371F">
        <w:rPr>
          <w:rFonts w:eastAsia="仿宋_GB2312" w:hint="eastAsia"/>
          <w:kern w:val="0"/>
          <w:sz w:val="32"/>
          <w:szCs w:val="32"/>
        </w:rPr>
        <w:t>〔</w:t>
      </w:r>
      <w:r>
        <w:rPr>
          <w:rFonts w:eastAsia="仿宋_GB2312"/>
          <w:kern w:val="0"/>
          <w:sz w:val="32"/>
          <w:szCs w:val="32"/>
        </w:rPr>
        <w:t>201</w:t>
      </w:r>
      <w:r>
        <w:rPr>
          <w:rFonts w:eastAsia="仿宋_GB2312" w:hint="eastAsia"/>
          <w:kern w:val="0"/>
          <w:sz w:val="32"/>
          <w:szCs w:val="32"/>
        </w:rPr>
        <w:t>6</w:t>
      </w:r>
      <w:r w:rsidRPr="00AB371F">
        <w:rPr>
          <w:rFonts w:eastAsia="仿宋_GB2312" w:hint="eastAsia"/>
          <w:kern w:val="0"/>
          <w:sz w:val="32"/>
          <w:szCs w:val="32"/>
        </w:rPr>
        <w:t>〕</w:t>
      </w:r>
      <w:r>
        <w:rPr>
          <w:rFonts w:eastAsia="仿宋_GB2312"/>
          <w:kern w:val="0"/>
          <w:sz w:val="32"/>
          <w:szCs w:val="32"/>
        </w:rPr>
        <w:t>8</w:t>
      </w:r>
      <w:r>
        <w:rPr>
          <w:rFonts w:eastAsia="仿宋_GB2312"/>
          <w:kern w:val="0"/>
          <w:sz w:val="32"/>
          <w:szCs w:val="32"/>
        </w:rPr>
        <w:t>号）的精神，</w:t>
      </w:r>
      <w:r>
        <w:rPr>
          <w:rFonts w:eastAsia="仿宋_GB2312" w:hint="eastAsia"/>
          <w:kern w:val="0"/>
          <w:sz w:val="32"/>
          <w:szCs w:val="32"/>
        </w:rPr>
        <w:t>国家</w:t>
      </w:r>
      <w:r>
        <w:rPr>
          <w:rFonts w:eastAsia="仿宋_GB2312"/>
          <w:kern w:val="0"/>
          <w:sz w:val="32"/>
          <w:szCs w:val="32"/>
        </w:rPr>
        <w:t>食品药品监督管理总局</w:t>
      </w:r>
      <w:r>
        <w:rPr>
          <w:rFonts w:eastAsia="仿宋_GB2312" w:hint="eastAsia"/>
          <w:kern w:val="0"/>
          <w:sz w:val="32"/>
          <w:szCs w:val="32"/>
        </w:rPr>
        <w:t>发</w:t>
      </w:r>
      <w:r>
        <w:rPr>
          <w:rFonts w:eastAsia="仿宋_GB2312"/>
          <w:kern w:val="0"/>
          <w:sz w:val="32"/>
          <w:szCs w:val="32"/>
        </w:rPr>
        <w:t>布了《关于落实</w:t>
      </w:r>
      <w:r>
        <w:rPr>
          <w:rFonts w:eastAsia="仿宋_GB2312" w:hint="eastAsia"/>
          <w:kern w:val="0"/>
          <w:sz w:val="32"/>
          <w:szCs w:val="32"/>
        </w:rPr>
        <w:t>〈</w:t>
      </w:r>
      <w:r>
        <w:rPr>
          <w:rFonts w:eastAsia="仿宋_GB2312"/>
          <w:kern w:val="0"/>
          <w:sz w:val="32"/>
          <w:szCs w:val="32"/>
        </w:rPr>
        <w:t>国务院办公厅关于开展仿制药质量和疗效一致性评价的意见</w:t>
      </w:r>
      <w:r>
        <w:rPr>
          <w:rFonts w:eastAsia="仿宋_GB2312" w:hint="eastAsia"/>
          <w:kern w:val="0"/>
          <w:sz w:val="32"/>
          <w:szCs w:val="32"/>
        </w:rPr>
        <w:t>〉</w:t>
      </w:r>
      <w:r>
        <w:rPr>
          <w:rFonts w:eastAsia="仿宋_GB2312"/>
          <w:kern w:val="0"/>
          <w:sz w:val="32"/>
          <w:szCs w:val="32"/>
        </w:rPr>
        <w:t>有关事项的公告》（</w:t>
      </w:r>
      <w:r>
        <w:rPr>
          <w:rFonts w:eastAsia="仿宋_GB2312"/>
          <w:kern w:val="0"/>
          <w:sz w:val="32"/>
          <w:szCs w:val="32"/>
        </w:rPr>
        <w:t>2016</w:t>
      </w:r>
      <w:r>
        <w:rPr>
          <w:rFonts w:eastAsia="仿宋_GB2312"/>
          <w:kern w:val="0"/>
          <w:sz w:val="32"/>
          <w:szCs w:val="32"/>
        </w:rPr>
        <w:t>年第</w:t>
      </w:r>
      <w:r>
        <w:rPr>
          <w:rFonts w:eastAsia="仿宋_GB2312"/>
          <w:kern w:val="0"/>
          <w:sz w:val="32"/>
          <w:szCs w:val="32"/>
        </w:rPr>
        <w:t>106</w:t>
      </w:r>
      <w:r>
        <w:rPr>
          <w:rFonts w:eastAsia="仿宋_GB2312"/>
          <w:kern w:val="0"/>
          <w:sz w:val="32"/>
          <w:szCs w:val="32"/>
        </w:rPr>
        <w:t>号）。上述文件</w:t>
      </w:r>
      <w:r>
        <w:rPr>
          <w:rFonts w:eastAsia="仿宋_GB2312" w:hint="eastAsia"/>
          <w:kern w:val="0"/>
          <w:sz w:val="32"/>
          <w:szCs w:val="32"/>
        </w:rPr>
        <w:t>提</w:t>
      </w:r>
      <w:r>
        <w:rPr>
          <w:rFonts w:eastAsia="仿宋_GB2312"/>
          <w:kern w:val="0"/>
          <w:sz w:val="32"/>
          <w:szCs w:val="32"/>
        </w:rPr>
        <w:t>出</w:t>
      </w:r>
      <w:r>
        <w:rPr>
          <w:rFonts w:eastAsia="仿宋_GB2312" w:hint="eastAsia"/>
          <w:kern w:val="0"/>
          <w:sz w:val="32"/>
          <w:szCs w:val="32"/>
        </w:rPr>
        <w:t>，</w:t>
      </w:r>
      <w:r>
        <w:rPr>
          <w:rFonts w:eastAsia="仿宋_GB2312"/>
          <w:kern w:val="0"/>
          <w:sz w:val="32"/>
          <w:szCs w:val="32"/>
        </w:rPr>
        <w:t>仿制药一致性评价应合理选用评价方法。原则上应采用体内生物等效性试验的方法进行一致性评价。找不到或无法确定参比制剂的，由药品生产企业开展临床有效性试验。</w:t>
      </w:r>
    </w:p>
    <w:p w:rsidR="006F5CD9" w:rsidRDefault="006F5CD9" w:rsidP="006F5CD9">
      <w:pPr>
        <w:autoSpaceDE w:val="0"/>
        <w:autoSpaceDN w:val="0"/>
        <w:adjustRightInd w:val="0"/>
        <w:spacing w:line="660" w:lineRule="exact"/>
        <w:ind w:firstLineChars="200" w:firstLine="640"/>
        <w:outlineLvl w:val="0"/>
        <w:rPr>
          <w:rFonts w:eastAsia="仿宋_GB2312"/>
          <w:kern w:val="0"/>
          <w:sz w:val="32"/>
          <w:szCs w:val="32"/>
        </w:rPr>
      </w:pPr>
      <w:r>
        <w:rPr>
          <w:rFonts w:eastAsia="仿宋_GB2312" w:hint="eastAsia"/>
          <w:kern w:val="0"/>
          <w:sz w:val="32"/>
          <w:szCs w:val="32"/>
        </w:rPr>
        <w:t>国家食品药品监督管理</w:t>
      </w:r>
      <w:r>
        <w:rPr>
          <w:rFonts w:eastAsia="仿宋_GB2312"/>
          <w:kern w:val="0"/>
          <w:sz w:val="32"/>
          <w:szCs w:val="32"/>
        </w:rPr>
        <w:t>总局已</w:t>
      </w:r>
      <w:r>
        <w:rPr>
          <w:rFonts w:eastAsia="仿宋_GB2312" w:hint="eastAsia"/>
          <w:kern w:val="0"/>
          <w:sz w:val="32"/>
          <w:szCs w:val="32"/>
        </w:rPr>
        <w:t>发</w:t>
      </w:r>
      <w:r>
        <w:rPr>
          <w:rFonts w:eastAsia="仿宋_GB2312"/>
          <w:kern w:val="0"/>
          <w:sz w:val="32"/>
          <w:szCs w:val="32"/>
        </w:rPr>
        <w:t>布《以药动学参数为终点评价指标的化学药物仿制药人体生物等效性研究技术指导原则》等指导原则。本文件是上述指导原则的补充文件，主要适用于</w:t>
      </w:r>
      <w:r>
        <w:rPr>
          <w:rFonts w:eastAsia="仿宋_GB2312"/>
          <w:kern w:val="0"/>
          <w:sz w:val="32"/>
          <w:szCs w:val="32"/>
        </w:rPr>
        <w:t>“</w:t>
      </w:r>
      <w:r>
        <w:rPr>
          <w:rFonts w:eastAsia="仿宋_GB2312"/>
          <w:kern w:val="0"/>
          <w:sz w:val="32"/>
          <w:szCs w:val="32"/>
        </w:rPr>
        <w:t>找不到或无法确定参比制剂的，需开展临床有效性试验的仿制药</w:t>
      </w:r>
      <w:r>
        <w:rPr>
          <w:rFonts w:eastAsia="仿宋_GB2312"/>
          <w:kern w:val="0"/>
          <w:sz w:val="32"/>
          <w:szCs w:val="32"/>
        </w:rPr>
        <w:t>”</w:t>
      </w:r>
      <w:r>
        <w:rPr>
          <w:rFonts w:eastAsia="仿宋_GB2312"/>
          <w:kern w:val="0"/>
          <w:sz w:val="32"/>
          <w:szCs w:val="32"/>
        </w:rPr>
        <w:t>。</w:t>
      </w:r>
    </w:p>
    <w:p w:rsidR="006F5CD9" w:rsidRDefault="006F5CD9" w:rsidP="006F5CD9">
      <w:pPr>
        <w:autoSpaceDE w:val="0"/>
        <w:autoSpaceDN w:val="0"/>
        <w:adjustRightInd w:val="0"/>
        <w:spacing w:line="640" w:lineRule="exact"/>
        <w:ind w:firstLineChars="200" w:firstLine="640"/>
        <w:outlineLvl w:val="0"/>
        <w:rPr>
          <w:rFonts w:eastAsia="黑体"/>
          <w:kern w:val="0"/>
          <w:sz w:val="32"/>
          <w:szCs w:val="32"/>
        </w:rPr>
      </w:pPr>
      <w:r>
        <w:rPr>
          <w:rFonts w:eastAsia="黑体"/>
          <w:kern w:val="0"/>
          <w:sz w:val="32"/>
          <w:szCs w:val="32"/>
        </w:rPr>
        <w:lastRenderedPageBreak/>
        <w:t>二、一般原则</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进行临床有效性试验的仿制药首先要考虑和评估仿制药的现实临床价值，基于其背景信息和循证医学证据等对临床有效性进行初步判断。仿制药质量和疗效一致性评价临床有效性试验应当遵从药物临床试验的一般规律，同时要根据仿制药背景信息（如：国内外临床研究和应用信息）和循证医学证据的情况来决定临床试验的目的，依此制订后续的临床试验方案并实施。</w:t>
      </w:r>
    </w:p>
    <w:p w:rsidR="006F5CD9" w:rsidRDefault="006F5CD9" w:rsidP="006F5CD9">
      <w:pPr>
        <w:autoSpaceDE w:val="0"/>
        <w:autoSpaceDN w:val="0"/>
        <w:adjustRightInd w:val="0"/>
        <w:spacing w:line="640" w:lineRule="exact"/>
        <w:ind w:firstLineChars="200" w:firstLine="640"/>
        <w:rPr>
          <w:rFonts w:eastAsia="仿宋_GB2312"/>
          <w:kern w:val="0"/>
          <w:sz w:val="32"/>
          <w:szCs w:val="32"/>
        </w:rPr>
      </w:pPr>
      <w:r>
        <w:rPr>
          <w:rFonts w:eastAsia="仿宋_GB2312"/>
          <w:kern w:val="0"/>
          <w:sz w:val="32"/>
          <w:szCs w:val="32"/>
        </w:rPr>
        <w:t>除本文件外，尚应综合参考《药物临床试验的生物统计学指导原则》等相关指导原则和文件。</w:t>
      </w:r>
    </w:p>
    <w:p w:rsidR="006F5CD9" w:rsidRDefault="006F5CD9" w:rsidP="006F5CD9">
      <w:pPr>
        <w:autoSpaceDE w:val="0"/>
        <w:autoSpaceDN w:val="0"/>
        <w:adjustRightInd w:val="0"/>
        <w:spacing w:line="640" w:lineRule="exact"/>
        <w:ind w:firstLineChars="200" w:firstLine="643"/>
        <w:outlineLvl w:val="0"/>
        <w:rPr>
          <w:rFonts w:eastAsia="黑体"/>
          <w:kern w:val="0"/>
          <w:sz w:val="32"/>
          <w:szCs w:val="32"/>
        </w:rPr>
      </w:pPr>
      <w:r>
        <w:rPr>
          <w:rFonts w:eastAsia="黑体"/>
          <w:b/>
          <w:kern w:val="0"/>
          <w:sz w:val="32"/>
          <w:szCs w:val="32"/>
        </w:rPr>
        <w:t>三、</w:t>
      </w:r>
      <w:r>
        <w:rPr>
          <w:rFonts w:eastAsia="黑体"/>
          <w:kern w:val="0"/>
          <w:sz w:val="32"/>
          <w:szCs w:val="32"/>
        </w:rPr>
        <w:t>具体要求</w:t>
      </w:r>
    </w:p>
    <w:p w:rsidR="006F5CD9" w:rsidRDefault="006F5CD9" w:rsidP="006F5CD9">
      <w:pPr>
        <w:autoSpaceDE w:val="0"/>
        <w:autoSpaceDN w:val="0"/>
        <w:adjustRightInd w:val="0"/>
        <w:spacing w:line="640" w:lineRule="exact"/>
        <w:ind w:firstLineChars="200" w:firstLine="640"/>
        <w:rPr>
          <w:rFonts w:eastAsia="楷体"/>
          <w:bCs/>
          <w:kern w:val="0"/>
          <w:sz w:val="32"/>
          <w:szCs w:val="32"/>
        </w:rPr>
      </w:pPr>
      <w:r>
        <w:rPr>
          <w:rFonts w:eastAsia="楷体"/>
          <w:bCs/>
          <w:kern w:val="0"/>
          <w:sz w:val="32"/>
          <w:szCs w:val="32"/>
        </w:rPr>
        <w:t>1</w:t>
      </w:r>
      <w:r>
        <w:rPr>
          <w:rFonts w:eastAsia="楷体" w:hint="eastAsia"/>
          <w:bCs/>
          <w:kern w:val="0"/>
          <w:sz w:val="32"/>
          <w:szCs w:val="32"/>
        </w:rPr>
        <w:t>.</w:t>
      </w:r>
      <w:r>
        <w:rPr>
          <w:rFonts w:eastAsia="楷体"/>
          <w:bCs/>
          <w:kern w:val="0"/>
          <w:sz w:val="32"/>
          <w:szCs w:val="32"/>
        </w:rPr>
        <w:t>临床有效性的初步判断</w:t>
      </w:r>
    </w:p>
    <w:p w:rsidR="006F5CD9" w:rsidRDefault="006F5CD9" w:rsidP="006F5CD9">
      <w:pPr>
        <w:autoSpaceDE w:val="0"/>
        <w:autoSpaceDN w:val="0"/>
        <w:adjustRightInd w:val="0"/>
        <w:spacing w:line="640" w:lineRule="exact"/>
        <w:ind w:firstLineChars="200" w:firstLine="640"/>
        <w:rPr>
          <w:rFonts w:eastAsia="仿宋_GB2312"/>
          <w:kern w:val="0"/>
          <w:sz w:val="32"/>
          <w:szCs w:val="32"/>
        </w:rPr>
      </w:pPr>
      <w:r>
        <w:rPr>
          <w:rFonts w:eastAsia="仿宋_GB2312"/>
          <w:kern w:val="0"/>
          <w:sz w:val="32"/>
          <w:szCs w:val="32"/>
        </w:rPr>
        <w:t>进行临床有效性试验的仿制药应评估其在现有治疗中的临床价值，基于其背景信息和循证医学证据等对临床有效性进行初步判断。应考虑：（</w:t>
      </w:r>
      <w:r>
        <w:rPr>
          <w:rFonts w:eastAsia="仿宋_GB2312"/>
          <w:kern w:val="0"/>
          <w:sz w:val="32"/>
          <w:szCs w:val="32"/>
        </w:rPr>
        <w:t>1</w:t>
      </w:r>
      <w:r>
        <w:rPr>
          <w:rFonts w:eastAsia="仿宋_GB2312"/>
          <w:kern w:val="0"/>
          <w:sz w:val="32"/>
          <w:szCs w:val="32"/>
        </w:rPr>
        <w:t>）该药物的临床疗效情况</w:t>
      </w:r>
      <w:r>
        <w:rPr>
          <w:rFonts w:eastAsia="仿宋_GB2312" w:hint="eastAsia"/>
          <w:kern w:val="0"/>
          <w:sz w:val="32"/>
          <w:szCs w:val="32"/>
        </w:rPr>
        <w:t>；</w:t>
      </w:r>
      <w:r>
        <w:rPr>
          <w:rFonts w:eastAsia="仿宋_GB2312"/>
          <w:kern w:val="0"/>
          <w:sz w:val="32"/>
          <w:szCs w:val="32"/>
        </w:rPr>
        <w:t>（</w:t>
      </w:r>
      <w:r>
        <w:rPr>
          <w:rFonts w:eastAsia="仿宋_GB2312"/>
          <w:kern w:val="0"/>
          <w:sz w:val="32"/>
          <w:szCs w:val="32"/>
        </w:rPr>
        <w:t>2</w:t>
      </w:r>
      <w:r>
        <w:rPr>
          <w:rFonts w:eastAsia="仿宋_GB2312"/>
          <w:kern w:val="0"/>
          <w:sz w:val="32"/>
          <w:szCs w:val="32"/>
        </w:rPr>
        <w:t>）与其他治疗药物的疗效比较情况</w:t>
      </w:r>
      <w:r>
        <w:rPr>
          <w:rFonts w:eastAsia="仿宋_GB2312" w:hint="eastAsia"/>
          <w:kern w:val="0"/>
          <w:sz w:val="32"/>
          <w:szCs w:val="32"/>
        </w:rPr>
        <w:t>；</w:t>
      </w:r>
      <w:r>
        <w:rPr>
          <w:rFonts w:eastAsia="仿宋_GB2312"/>
          <w:kern w:val="0"/>
          <w:sz w:val="32"/>
          <w:szCs w:val="32"/>
        </w:rPr>
        <w:t>（</w:t>
      </w:r>
      <w:r>
        <w:rPr>
          <w:rFonts w:eastAsia="仿宋_GB2312"/>
          <w:kern w:val="0"/>
          <w:sz w:val="32"/>
          <w:szCs w:val="32"/>
        </w:rPr>
        <w:t>3</w:t>
      </w:r>
      <w:r>
        <w:rPr>
          <w:rFonts w:eastAsia="仿宋_GB2312"/>
          <w:kern w:val="0"/>
          <w:sz w:val="32"/>
          <w:szCs w:val="32"/>
        </w:rPr>
        <w:t>）是否存在影响现有治疗药物疗效的其</w:t>
      </w:r>
      <w:r>
        <w:rPr>
          <w:rFonts w:eastAsia="仿宋_GB2312" w:hint="eastAsia"/>
          <w:kern w:val="0"/>
          <w:sz w:val="32"/>
          <w:szCs w:val="32"/>
        </w:rPr>
        <w:t>他</w:t>
      </w:r>
      <w:r>
        <w:rPr>
          <w:rFonts w:eastAsia="仿宋_GB2312"/>
          <w:kern w:val="0"/>
          <w:sz w:val="32"/>
          <w:szCs w:val="32"/>
        </w:rPr>
        <w:t>因素，如耐受性、依从性或患者倾向性</w:t>
      </w:r>
      <w:r>
        <w:rPr>
          <w:rFonts w:eastAsia="仿宋_GB2312" w:hint="eastAsia"/>
          <w:kern w:val="0"/>
          <w:sz w:val="32"/>
          <w:szCs w:val="32"/>
        </w:rPr>
        <w:t>。</w:t>
      </w:r>
    </w:p>
    <w:p w:rsidR="006F5CD9" w:rsidRDefault="006F5CD9" w:rsidP="006F5CD9">
      <w:pPr>
        <w:autoSpaceDE w:val="0"/>
        <w:autoSpaceDN w:val="0"/>
        <w:adjustRightInd w:val="0"/>
        <w:spacing w:line="640" w:lineRule="exact"/>
        <w:ind w:firstLineChars="200" w:firstLine="640"/>
        <w:rPr>
          <w:rFonts w:eastAsia="仿宋_GB2312"/>
          <w:kern w:val="0"/>
          <w:sz w:val="32"/>
          <w:szCs w:val="32"/>
        </w:rPr>
      </w:pPr>
      <w:r>
        <w:rPr>
          <w:rFonts w:eastAsia="仿宋_GB2312"/>
          <w:kern w:val="0"/>
          <w:sz w:val="32"/>
          <w:szCs w:val="32"/>
        </w:rPr>
        <w:t>考虑以上问题时，要注意数据是否来自良好对照方法的临床试验，以使结论具有科学性。</w:t>
      </w:r>
    </w:p>
    <w:p w:rsidR="006F5CD9" w:rsidRDefault="006F5CD9" w:rsidP="006F5CD9">
      <w:pPr>
        <w:autoSpaceDE w:val="0"/>
        <w:autoSpaceDN w:val="0"/>
        <w:adjustRightInd w:val="0"/>
        <w:spacing w:line="640" w:lineRule="exact"/>
        <w:ind w:firstLineChars="200" w:firstLine="640"/>
        <w:outlineLvl w:val="0"/>
        <w:rPr>
          <w:rFonts w:eastAsia="楷体"/>
          <w:bCs/>
          <w:kern w:val="0"/>
          <w:sz w:val="32"/>
          <w:szCs w:val="32"/>
        </w:rPr>
      </w:pPr>
      <w:r>
        <w:rPr>
          <w:rFonts w:eastAsia="楷体"/>
          <w:bCs/>
          <w:kern w:val="0"/>
          <w:sz w:val="32"/>
          <w:szCs w:val="32"/>
        </w:rPr>
        <w:t>2</w:t>
      </w:r>
      <w:r>
        <w:rPr>
          <w:rFonts w:eastAsia="楷体" w:hint="eastAsia"/>
          <w:bCs/>
          <w:kern w:val="0"/>
          <w:sz w:val="32"/>
          <w:szCs w:val="32"/>
        </w:rPr>
        <w:t>.</w:t>
      </w:r>
      <w:r>
        <w:rPr>
          <w:rFonts w:eastAsia="楷体"/>
          <w:bCs/>
          <w:kern w:val="0"/>
          <w:sz w:val="32"/>
          <w:szCs w:val="32"/>
        </w:rPr>
        <w:t>对照药</w:t>
      </w:r>
    </w:p>
    <w:p w:rsidR="006F5CD9" w:rsidRDefault="006F5CD9" w:rsidP="006F5CD9">
      <w:pPr>
        <w:autoSpaceDE w:val="0"/>
        <w:autoSpaceDN w:val="0"/>
        <w:adjustRightInd w:val="0"/>
        <w:spacing w:line="640" w:lineRule="exact"/>
        <w:ind w:firstLineChars="200" w:firstLine="640"/>
        <w:rPr>
          <w:rFonts w:eastAsia="仿宋_GB2312"/>
          <w:kern w:val="0"/>
          <w:sz w:val="32"/>
          <w:szCs w:val="32"/>
        </w:rPr>
      </w:pPr>
      <w:r>
        <w:rPr>
          <w:rFonts w:eastAsia="仿宋_GB2312"/>
          <w:kern w:val="0"/>
          <w:sz w:val="32"/>
          <w:szCs w:val="32"/>
        </w:rPr>
        <w:t>对照药一般可分为安慰剂对照和阳性对照药。为明确疗效，</w:t>
      </w:r>
      <w:r>
        <w:rPr>
          <w:rFonts w:eastAsia="仿宋_GB2312"/>
          <w:kern w:val="0"/>
          <w:sz w:val="32"/>
          <w:szCs w:val="32"/>
        </w:rPr>
        <w:lastRenderedPageBreak/>
        <w:t>鼓励选择安慰剂对照进行优效性临床试验。但如为细胞毒类药品等特殊情况不适合应用安慰剂对照，也可选择阳性对照药进行非劣效性临床试验。阳性对照药应为适应症相同，临床疗效确切的药物。最好是与试验药作用机制相同的药物。阳性对照药要谨慎选择，一个合适的阳性对照应当是：（</w:t>
      </w:r>
      <w:r>
        <w:rPr>
          <w:rFonts w:eastAsia="仿宋_GB2312"/>
          <w:kern w:val="0"/>
          <w:sz w:val="32"/>
          <w:szCs w:val="32"/>
        </w:rPr>
        <w:t>1</w:t>
      </w:r>
      <w:r>
        <w:rPr>
          <w:rFonts w:eastAsia="仿宋_GB2312"/>
          <w:kern w:val="0"/>
          <w:sz w:val="32"/>
          <w:szCs w:val="32"/>
        </w:rPr>
        <w:t>）公认的、有足够临床数据支持的；（</w:t>
      </w:r>
      <w:r>
        <w:rPr>
          <w:rFonts w:eastAsia="仿宋_GB2312"/>
          <w:kern w:val="0"/>
          <w:sz w:val="32"/>
          <w:szCs w:val="32"/>
        </w:rPr>
        <w:t>2</w:t>
      </w:r>
      <w:r>
        <w:rPr>
          <w:rFonts w:eastAsia="仿宋_GB2312"/>
          <w:kern w:val="0"/>
          <w:sz w:val="32"/>
          <w:szCs w:val="32"/>
        </w:rPr>
        <w:t>）疗效预期可重现的。</w:t>
      </w:r>
    </w:p>
    <w:p w:rsidR="006F5CD9" w:rsidRDefault="006F5CD9" w:rsidP="006F5CD9">
      <w:pPr>
        <w:autoSpaceDE w:val="0"/>
        <w:autoSpaceDN w:val="0"/>
        <w:adjustRightInd w:val="0"/>
        <w:spacing w:line="640" w:lineRule="exact"/>
        <w:ind w:firstLineChars="200" w:firstLine="640"/>
        <w:outlineLvl w:val="0"/>
        <w:rPr>
          <w:rFonts w:eastAsia="楷体"/>
          <w:bCs/>
          <w:kern w:val="0"/>
          <w:sz w:val="32"/>
          <w:szCs w:val="32"/>
        </w:rPr>
      </w:pPr>
      <w:r>
        <w:rPr>
          <w:rFonts w:eastAsia="楷体"/>
          <w:bCs/>
          <w:kern w:val="0"/>
          <w:sz w:val="32"/>
          <w:szCs w:val="32"/>
        </w:rPr>
        <w:t>3</w:t>
      </w:r>
      <w:r>
        <w:rPr>
          <w:rFonts w:eastAsia="楷体" w:hint="eastAsia"/>
          <w:bCs/>
          <w:kern w:val="0"/>
          <w:sz w:val="32"/>
          <w:szCs w:val="32"/>
        </w:rPr>
        <w:t>.</w:t>
      </w:r>
      <w:r>
        <w:rPr>
          <w:rFonts w:eastAsia="楷体"/>
          <w:bCs/>
          <w:kern w:val="0"/>
          <w:sz w:val="32"/>
          <w:szCs w:val="32"/>
        </w:rPr>
        <w:t>比较类型</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仿制药一致性评价临床有效性试验的比较类型主要包括优效性试验和非劣效性试验。</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优效性试验的目的是显示试验药的治疗效果优于对照药，包括：试验药是否优于安慰剂；试验药是否优于阳性对照药。非劣效性试验的目的是确证试验药的疗效至少不差于阳性对照药。</w:t>
      </w:r>
    </w:p>
    <w:p w:rsidR="006F5CD9" w:rsidRDefault="006F5CD9" w:rsidP="006F5CD9">
      <w:pPr>
        <w:autoSpaceDE w:val="0"/>
        <w:autoSpaceDN w:val="0"/>
        <w:adjustRightInd w:val="0"/>
        <w:spacing w:line="640" w:lineRule="exact"/>
        <w:ind w:firstLineChars="200" w:firstLine="640"/>
        <w:outlineLvl w:val="0"/>
        <w:rPr>
          <w:rFonts w:eastAsia="楷体"/>
          <w:bCs/>
          <w:kern w:val="0"/>
          <w:sz w:val="32"/>
          <w:szCs w:val="32"/>
        </w:rPr>
      </w:pPr>
      <w:r>
        <w:rPr>
          <w:rFonts w:eastAsia="楷体"/>
          <w:bCs/>
          <w:kern w:val="0"/>
          <w:sz w:val="32"/>
          <w:szCs w:val="32"/>
        </w:rPr>
        <w:t>4</w:t>
      </w:r>
      <w:r>
        <w:rPr>
          <w:rFonts w:eastAsia="楷体" w:hint="eastAsia"/>
          <w:bCs/>
          <w:kern w:val="0"/>
          <w:sz w:val="32"/>
          <w:szCs w:val="32"/>
        </w:rPr>
        <w:t>.</w:t>
      </w:r>
      <w:r>
        <w:rPr>
          <w:rFonts w:eastAsia="楷体"/>
          <w:bCs/>
          <w:kern w:val="0"/>
          <w:sz w:val="32"/>
          <w:szCs w:val="32"/>
        </w:rPr>
        <w:t>终点指标</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根据仿制药特点，结合具体药物的情况选择合适的终点指标。仿制药一致性评价临床有效性试验的目的是评价有效性，可使用普遍接受的临床终点指标；也可使用有价值的替代终点或生物标记物，把握科学、准确、灵敏、有效率的原则，实现试验目的。</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可参考《药物临床试验的生物统计学指导原则》关于药物临床试验终点指标的描述，选择合适的终点指标。</w:t>
      </w:r>
    </w:p>
    <w:p w:rsidR="006F5CD9" w:rsidRDefault="006F5CD9" w:rsidP="006F5CD9">
      <w:pPr>
        <w:autoSpaceDE w:val="0"/>
        <w:autoSpaceDN w:val="0"/>
        <w:adjustRightInd w:val="0"/>
        <w:spacing w:line="640" w:lineRule="exact"/>
        <w:ind w:firstLineChars="200" w:firstLine="640"/>
        <w:outlineLvl w:val="0"/>
        <w:rPr>
          <w:rFonts w:eastAsia="楷体"/>
          <w:bCs/>
          <w:kern w:val="0"/>
          <w:sz w:val="32"/>
          <w:szCs w:val="32"/>
        </w:rPr>
      </w:pPr>
      <w:r>
        <w:rPr>
          <w:rFonts w:eastAsia="楷体"/>
          <w:bCs/>
          <w:kern w:val="0"/>
          <w:sz w:val="32"/>
          <w:szCs w:val="32"/>
        </w:rPr>
        <w:t>5</w:t>
      </w:r>
      <w:r>
        <w:rPr>
          <w:rFonts w:eastAsia="楷体" w:hint="eastAsia"/>
          <w:bCs/>
          <w:kern w:val="0"/>
          <w:sz w:val="32"/>
          <w:szCs w:val="32"/>
        </w:rPr>
        <w:t>.</w:t>
      </w:r>
      <w:r>
        <w:rPr>
          <w:rFonts w:eastAsia="楷体"/>
          <w:bCs/>
          <w:kern w:val="0"/>
          <w:sz w:val="32"/>
          <w:szCs w:val="32"/>
        </w:rPr>
        <w:t>样本量估算</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lastRenderedPageBreak/>
        <w:t>一般情况下，仿制药质量和疗效一致性评价临床有效性试验中样本量估算是基于有效性考虑。</w:t>
      </w:r>
      <w:r w:rsidRPr="005434B9">
        <w:rPr>
          <w:rFonts w:eastAsia="仿宋_GB2312"/>
          <w:color w:val="000000"/>
          <w:sz w:val="32"/>
          <w:szCs w:val="32"/>
        </w:rPr>
        <w:t>样本量估算受研究疾病、研究设计类型和研究终点等因素的影响。样本量大小的估计应根据试验组与对照组预估的治疗效应值及相应变异程度、统计分析方法、假阳性错误率、研究把握度、可能的失访率等参数来确定。</w:t>
      </w:r>
    </w:p>
    <w:p w:rsidR="006F5CD9" w:rsidRDefault="006F5CD9" w:rsidP="006F5CD9">
      <w:pPr>
        <w:autoSpaceDE w:val="0"/>
        <w:autoSpaceDN w:val="0"/>
        <w:adjustRightInd w:val="0"/>
        <w:spacing w:line="640" w:lineRule="exact"/>
        <w:ind w:firstLineChars="200" w:firstLine="640"/>
        <w:outlineLvl w:val="0"/>
        <w:rPr>
          <w:rFonts w:eastAsia="仿宋_GB2312"/>
          <w:kern w:val="0"/>
          <w:sz w:val="32"/>
          <w:szCs w:val="32"/>
        </w:rPr>
      </w:pPr>
      <w:r>
        <w:rPr>
          <w:rFonts w:eastAsia="仿宋_GB2312"/>
          <w:kern w:val="0"/>
          <w:sz w:val="32"/>
          <w:szCs w:val="32"/>
        </w:rPr>
        <w:t>样本量估算具体可参考《药物临床试验的生物统计学指导原则》。</w:t>
      </w:r>
    </w:p>
    <w:p w:rsidR="006F5CD9" w:rsidRDefault="006F5CD9" w:rsidP="006F5CD9">
      <w:pPr>
        <w:autoSpaceDE w:val="0"/>
        <w:autoSpaceDN w:val="0"/>
        <w:adjustRightInd w:val="0"/>
        <w:spacing w:line="640" w:lineRule="exact"/>
        <w:ind w:firstLineChars="200" w:firstLine="600"/>
        <w:rPr>
          <w:rFonts w:eastAsia="黑体"/>
          <w:kern w:val="0"/>
          <w:sz w:val="30"/>
          <w:szCs w:val="30"/>
        </w:rPr>
      </w:pPr>
      <w:r>
        <w:rPr>
          <w:rFonts w:eastAsia="黑体"/>
          <w:kern w:val="0"/>
          <w:sz w:val="30"/>
          <w:szCs w:val="30"/>
        </w:rPr>
        <w:t>四、参考文献</w:t>
      </w:r>
    </w:p>
    <w:p w:rsidR="006F5CD9" w:rsidRPr="00F80D54" w:rsidRDefault="006F5CD9" w:rsidP="006F5CD9">
      <w:pPr>
        <w:pStyle w:val="1"/>
        <w:numPr>
          <w:ilvl w:val="0"/>
          <w:numId w:val="1"/>
        </w:numPr>
        <w:autoSpaceDE w:val="0"/>
        <w:autoSpaceDN w:val="0"/>
        <w:adjustRightInd w:val="0"/>
        <w:snapToGrid w:val="0"/>
        <w:spacing w:line="640" w:lineRule="exact"/>
        <w:ind w:left="567" w:firstLineChars="0" w:firstLine="6"/>
        <w:rPr>
          <w:rFonts w:ascii="Times New Roman" w:eastAsia="仿宋_GB2312" w:hAnsi="Times New Roman" w:cs="Times New Roman"/>
          <w:sz w:val="32"/>
          <w:szCs w:val="32"/>
        </w:rPr>
      </w:pPr>
      <w:r w:rsidRPr="00F80D54">
        <w:rPr>
          <w:rFonts w:ascii="Times New Roman" w:eastAsia="仿宋_GB2312" w:hAnsi="Times New Roman" w:cs="Times New Roman"/>
          <w:sz w:val="32"/>
          <w:szCs w:val="32"/>
        </w:rPr>
        <w:t xml:space="preserve">CFDA. </w:t>
      </w:r>
      <w:r w:rsidRPr="00F80D54">
        <w:rPr>
          <w:rFonts w:ascii="Times New Roman" w:eastAsia="仿宋_GB2312" w:hAnsi="Times New Roman" w:cs="Times New Roman"/>
          <w:sz w:val="32"/>
          <w:szCs w:val="32"/>
        </w:rPr>
        <w:t>药物临床试验的生物统计学指导原则</w:t>
      </w:r>
      <w:r w:rsidRPr="00F80D54">
        <w:rPr>
          <w:rFonts w:ascii="Times New Roman" w:eastAsia="仿宋_GB2312" w:hAnsi="Times New Roman" w:cs="Times New Roman"/>
          <w:sz w:val="32"/>
          <w:szCs w:val="32"/>
        </w:rPr>
        <w:t>. 2016.</w:t>
      </w:r>
    </w:p>
    <w:p w:rsidR="006F5CD9" w:rsidRPr="00F80D54" w:rsidRDefault="006F5CD9" w:rsidP="006F5CD9">
      <w:pPr>
        <w:pStyle w:val="1"/>
        <w:numPr>
          <w:ilvl w:val="0"/>
          <w:numId w:val="1"/>
        </w:numPr>
        <w:autoSpaceDE w:val="0"/>
        <w:autoSpaceDN w:val="0"/>
        <w:adjustRightInd w:val="0"/>
        <w:snapToGrid w:val="0"/>
        <w:spacing w:line="640" w:lineRule="exact"/>
        <w:ind w:left="0" w:firstLineChars="0" w:firstLine="567"/>
        <w:jc w:val="both"/>
        <w:rPr>
          <w:rFonts w:ascii="Times New Roman" w:eastAsia="仿宋_GB2312" w:hAnsi="Times New Roman" w:cs="Times New Roman"/>
          <w:sz w:val="32"/>
          <w:szCs w:val="32"/>
        </w:rPr>
      </w:pPr>
      <w:r w:rsidRPr="00F80D54">
        <w:rPr>
          <w:rFonts w:ascii="Times New Roman" w:eastAsia="仿宋_GB2312" w:hAnsi="Times New Roman" w:cs="Times New Roman"/>
          <w:sz w:val="32"/>
          <w:szCs w:val="32"/>
        </w:rPr>
        <w:t xml:space="preserve">CFDA. </w:t>
      </w:r>
      <w:r w:rsidRPr="00F80D54">
        <w:rPr>
          <w:rFonts w:ascii="Times New Roman" w:eastAsia="仿宋_GB2312" w:hAnsi="Times New Roman" w:cs="Times New Roman"/>
          <w:sz w:val="32"/>
          <w:szCs w:val="32"/>
        </w:rPr>
        <w:t>以药动学参数为终点评价指标的化学药物仿制药人体生物等效性研究技术指导原则</w:t>
      </w:r>
      <w:r w:rsidRPr="00F80D54">
        <w:rPr>
          <w:rFonts w:ascii="Times New Roman" w:eastAsia="仿宋_GB2312" w:hAnsi="Times New Roman" w:cs="Times New Roman"/>
          <w:sz w:val="32"/>
          <w:szCs w:val="32"/>
        </w:rPr>
        <w:t>. 2016.</w:t>
      </w:r>
    </w:p>
    <w:p w:rsidR="006F5CD9" w:rsidRPr="00F80D54" w:rsidRDefault="006F5CD9" w:rsidP="006F5CD9">
      <w:pPr>
        <w:pStyle w:val="1"/>
        <w:numPr>
          <w:ilvl w:val="0"/>
          <w:numId w:val="1"/>
        </w:numPr>
        <w:autoSpaceDE w:val="0"/>
        <w:autoSpaceDN w:val="0"/>
        <w:adjustRightInd w:val="0"/>
        <w:spacing w:line="640" w:lineRule="exact"/>
        <w:ind w:left="0" w:firstLineChars="0" w:firstLine="567"/>
        <w:jc w:val="both"/>
        <w:rPr>
          <w:rFonts w:ascii="Times New Roman" w:eastAsia="仿宋_GB2312" w:hAnsi="Times New Roman" w:cs="Times New Roman"/>
          <w:sz w:val="32"/>
          <w:szCs w:val="32"/>
        </w:rPr>
      </w:pPr>
      <w:r w:rsidRPr="00F80D54">
        <w:rPr>
          <w:rFonts w:ascii="Times New Roman" w:eastAsia="仿宋_GB2312" w:hAnsi="Times New Roman" w:cs="Times New Roman"/>
          <w:sz w:val="32"/>
          <w:szCs w:val="32"/>
        </w:rPr>
        <w:t>秦伯益主编</w:t>
      </w:r>
      <w:r w:rsidRPr="00F80D54">
        <w:rPr>
          <w:rFonts w:ascii="Times New Roman" w:eastAsia="仿宋_GB2312" w:hAnsi="Times New Roman" w:cs="Times New Roman"/>
          <w:sz w:val="32"/>
          <w:szCs w:val="32"/>
        </w:rPr>
        <w:t xml:space="preserve">. </w:t>
      </w:r>
      <w:r w:rsidRPr="00F80D54">
        <w:rPr>
          <w:rFonts w:ascii="Times New Roman" w:eastAsia="仿宋_GB2312" w:hAnsi="Times New Roman" w:cs="Times New Roman"/>
          <w:sz w:val="32"/>
          <w:szCs w:val="32"/>
        </w:rPr>
        <w:t>新药评价概论</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人民卫生出版社，第二版（</w:t>
      </w:r>
      <w:r w:rsidRPr="00F80D54">
        <w:rPr>
          <w:rFonts w:ascii="Times New Roman" w:eastAsia="仿宋_GB2312" w:hAnsi="Times New Roman" w:cs="Times New Roman"/>
          <w:sz w:val="32"/>
          <w:szCs w:val="32"/>
        </w:rPr>
        <w:t>1998</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 xml:space="preserve">. </w:t>
      </w:r>
    </w:p>
    <w:p w:rsidR="006F5CD9" w:rsidRPr="00F80D54" w:rsidRDefault="006F5CD9" w:rsidP="006F5CD9">
      <w:pPr>
        <w:pStyle w:val="1"/>
        <w:numPr>
          <w:ilvl w:val="0"/>
          <w:numId w:val="1"/>
        </w:numPr>
        <w:autoSpaceDE w:val="0"/>
        <w:autoSpaceDN w:val="0"/>
        <w:adjustRightInd w:val="0"/>
        <w:spacing w:line="640" w:lineRule="exact"/>
        <w:ind w:left="0" w:firstLineChars="0" w:firstLine="573"/>
        <w:rPr>
          <w:rFonts w:ascii="Times New Roman" w:eastAsia="仿宋_GB2312" w:hAnsi="Times New Roman" w:cs="Times New Roman"/>
          <w:sz w:val="32"/>
          <w:szCs w:val="32"/>
        </w:rPr>
      </w:pPr>
      <w:r w:rsidRPr="00F80D54">
        <w:rPr>
          <w:rFonts w:ascii="Times New Roman" w:eastAsia="仿宋_GB2312" w:hAnsi="Times New Roman" w:cs="Times New Roman"/>
          <w:sz w:val="32"/>
          <w:szCs w:val="32"/>
        </w:rPr>
        <w:t>魏树礼主编</w:t>
      </w:r>
      <w:r w:rsidRPr="00F80D54">
        <w:rPr>
          <w:rFonts w:ascii="Times New Roman" w:eastAsia="仿宋_GB2312" w:hAnsi="Times New Roman" w:cs="Times New Roman"/>
          <w:sz w:val="32"/>
          <w:szCs w:val="32"/>
        </w:rPr>
        <w:t xml:space="preserve">. </w:t>
      </w:r>
      <w:r w:rsidRPr="00F80D54">
        <w:rPr>
          <w:rFonts w:ascii="Times New Roman" w:eastAsia="仿宋_GB2312" w:hAnsi="Times New Roman" w:cs="Times New Roman"/>
          <w:sz w:val="32"/>
          <w:szCs w:val="32"/>
        </w:rPr>
        <w:t>生物药剂学和药物动力学</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北京医科大学出版社，第一版（</w:t>
      </w:r>
      <w:r w:rsidRPr="00F80D54">
        <w:rPr>
          <w:rFonts w:ascii="Times New Roman" w:eastAsia="仿宋_GB2312" w:hAnsi="Times New Roman" w:cs="Times New Roman"/>
          <w:sz w:val="32"/>
          <w:szCs w:val="32"/>
        </w:rPr>
        <w:t>2001</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w:t>
      </w:r>
    </w:p>
    <w:p w:rsidR="006F5CD9" w:rsidRPr="00F80D54" w:rsidRDefault="006F5CD9" w:rsidP="006F5CD9">
      <w:pPr>
        <w:pStyle w:val="1"/>
        <w:numPr>
          <w:ilvl w:val="0"/>
          <w:numId w:val="1"/>
        </w:numPr>
        <w:autoSpaceDE w:val="0"/>
        <w:autoSpaceDN w:val="0"/>
        <w:adjustRightInd w:val="0"/>
        <w:spacing w:line="640" w:lineRule="exact"/>
        <w:ind w:left="0" w:firstLineChars="0" w:firstLine="573"/>
        <w:rPr>
          <w:rFonts w:ascii="Times New Roman" w:eastAsia="仿宋_GB2312" w:hAnsi="Times New Roman" w:cs="Times New Roman"/>
          <w:sz w:val="32"/>
          <w:szCs w:val="32"/>
        </w:rPr>
      </w:pPr>
      <w:r w:rsidRPr="00F80D54">
        <w:rPr>
          <w:rFonts w:ascii="Times New Roman" w:eastAsia="仿宋_GB2312" w:hAnsi="Times New Roman" w:cs="Times New Roman"/>
          <w:sz w:val="32"/>
          <w:szCs w:val="32"/>
        </w:rPr>
        <w:t>赵香兰主编</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临床药代动力学基础与应用</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郑州大学出版社，第一版（</w:t>
      </w:r>
      <w:r w:rsidRPr="00F80D54">
        <w:rPr>
          <w:rFonts w:ascii="Times New Roman" w:eastAsia="仿宋_GB2312" w:hAnsi="Times New Roman" w:cs="Times New Roman"/>
          <w:sz w:val="32"/>
          <w:szCs w:val="32"/>
        </w:rPr>
        <w:t>2003</w:t>
      </w:r>
      <w:r w:rsidRPr="00F80D54">
        <w:rPr>
          <w:rFonts w:ascii="Times New Roman" w:eastAsia="仿宋_GB2312" w:hAnsi="Times New Roman" w:cs="Times New Roman"/>
          <w:sz w:val="32"/>
          <w:szCs w:val="32"/>
        </w:rPr>
        <w:t>）</w:t>
      </w:r>
      <w:r w:rsidRPr="00F80D54">
        <w:rPr>
          <w:rFonts w:ascii="Times New Roman" w:eastAsia="仿宋_GB2312" w:hAnsi="Times New Roman" w:cs="Times New Roman"/>
          <w:sz w:val="32"/>
          <w:szCs w:val="32"/>
        </w:rPr>
        <w:t>.</w:t>
      </w:r>
    </w:p>
    <w:p w:rsidR="006F5CD9" w:rsidRPr="00F80D54" w:rsidRDefault="006F5CD9" w:rsidP="006F5CD9">
      <w:pPr>
        <w:pStyle w:val="1"/>
        <w:widowControl w:val="0"/>
        <w:numPr>
          <w:ilvl w:val="0"/>
          <w:numId w:val="1"/>
        </w:numPr>
        <w:autoSpaceDE w:val="0"/>
        <w:autoSpaceDN w:val="0"/>
        <w:adjustRightInd w:val="0"/>
        <w:spacing w:line="640" w:lineRule="exact"/>
        <w:ind w:left="0" w:firstLineChars="0" w:firstLine="567"/>
        <w:jc w:val="both"/>
        <w:rPr>
          <w:rFonts w:ascii="Times New Roman" w:hAnsi="Times New Roman" w:cs="Times New Roman"/>
          <w:b/>
          <w:bCs/>
          <w:sz w:val="32"/>
          <w:szCs w:val="32"/>
        </w:rPr>
      </w:pPr>
      <w:r w:rsidRPr="00F80D54">
        <w:rPr>
          <w:rFonts w:ascii="Times New Roman" w:eastAsia="仿宋_GB2312" w:hAnsi="Times New Roman" w:cs="Times New Roman"/>
          <w:spacing w:val="-4"/>
          <w:sz w:val="32"/>
          <w:szCs w:val="32"/>
        </w:rPr>
        <w:t>FD</w:t>
      </w:r>
      <w:r w:rsidRPr="009B75F1">
        <w:rPr>
          <w:rFonts w:ascii="Times New Roman" w:eastAsia="仿宋_GB2312" w:hAnsi="Times New Roman" w:cs="Times New Roman"/>
          <w:spacing w:val="-10"/>
          <w:sz w:val="32"/>
          <w:szCs w:val="32"/>
        </w:rPr>
        <w:t>A. Guidance for Industry Bioequivalence Studies with Pharmacokinetic Endpoints for Drugs Submitted Under an ANDA. 2013.</w:t>
      </w:r>
    </w:p>
    <w:p w:rsidR="006F5CD9" w:rsidRPr="00F80D54" w:rsidRDefault="006F5CD9" w:rsidP="006F5CD9">
      <w:pPr>
        <w:pStyle w:val="1"/>
        <w:numPr>
          <w:ilvl w:val="0"/>
          <w:numId w:val="1"/>
        </w:numPr>
        <w:autoSpaceDE w:val="0"/>
        <w:autoSpaceDN w:val="0"/>
        <w:adjustRightInd w:val="0"/>
        <w:spacing w:line="640" w:lineRule="exact"/>
        <w:ind w:left="567" w:firstLineChars="0" w:firstLine="6"/>
        <w:jc w:val="both"/>
        <w:rPr>
          <w:rFonts w:ascii="Times New Roman" w:eastAsia="仿宋_GB2312" w:hAnsi="Times New Roman" w:cs="Times New Roman"/>
          <w:spacing w:val="-4"/>
          <w:sz w:val="32"/>
          <w:szCs w:val="32"/>
        </w:rPr>
      </w:pPr>
      <w:r w:rsidRPr="00F80D54">
        <w:rPr>
          <w:rFonts w:ascii="Times New Roman" w:eastAsia="仿宋_GB2312" w:hAnsi="Times New Roman" w:cs="Times New Roman"/>
          <w:spacing w:val="-4"/>
          <w:sz w:val="32"/>
          <w:szCs w:val="32"/>
        </w:rPr>
        <w:t>General Considerations for Clinical Trials</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E8</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w:t>
      </w:r>
    </w:p>
    <w:p w:rsidR="006F5CD9" w:rsidRPr="00F80D54" w:rsidRDefault="006F5CD9" w:rsidP="006F5CD9">
      <w:pPr>
        <w:pStyle w:val="1"/>
        <w:numPr>
          <w:ilvl w:val="0"/>
          <w:numId w:val="1"/>
        </w:numPr>
        <w:autoSpaceDE w:val="0"/>
        <w:autoSpaceDN w:val="0"/>
        <w:adjustRightInd w:val="0"/>
        <w:spacing w:line="640" w:lineRule="exact"/>
        <w:ind w:left="567" w:firstLineChars="0" w:firstLine="6"/>
        <w:jc w:val="both"/>
        <w:rPr>
          <w:rFonts w:ascii="Times New Roman" w:eastAsia="仿宋_GB2312" w:hAnsi="Times New Roman" w:cs="Times New Roman"/>
          <w:spacing w:val="-4"/>
          <w:sz w:val="32"/>
          <w:szCs w:val="32"/>
        </w:rPr>
      </w:pPr>
      <w:r w:rsidRPr="00F80D54">
        <w:rPr>
          <w:rFonts w:ascii="Times New Roman" w:eastAsia="仿宋_GB2312" w:hAnsi="Times New Roman" w:cs="Times New Roman"/>
          <w:spacing w:val="-4"/>
          <w:sz w:val="32"/>
          <w:szCs w:val="32"/>
        </w:rPr>
        <w:lastRenderedPageBreak/>
        <w:t>Statistical Considerations in the Design of Clinical Trials</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E9</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w:t>
      </w:r>
    </w:p>
    <w:p w:rsidR="006F5CD9" w:rsidRPr="00F80D54" w:rsidRDefault="006F5CD9" w:rsidP="006F5CD9">
      <w:pPr>
        <w:pStyle w:val="1"/>
        <w:numPr>
          <w:ilvl w:val="0"/>
          <w:numId w:val="1"/>
        </w:numPr>
        <w:autoSpaceDE w:val="0"/>
        <w:autoSpaceDN w:val="0"/>
        <w:adjustRightInd w:val="0"/>
        <w:spacing w:line="640" w:lineRule="exact"/>
        <w:ind w:left="567" w:firstLineChars="0" w:firstLine="6"/>
        <w:jc w:val="both"/>
        <w:rPr>
          <w:rFonts w:ascii="Times New Roman" w:eastAsia="仿宋_GB2312" w:hAnsi="Times New Roman" w:cs="Times New Roman"/>
          <w:spacing w:val="-4"/>
          <w:sz w:val="32"/>
          <w:szCs w:val="32"/>
        </w:rPr>
      </w:pPr>
      <w:r w:rsidRPr="00F80D54">
        <w:rPr>
          <w:rFonts w:ascii="Times New Roman" w:eastAsia="仿宋_GB2312" w:hAnsi="Times New Roman" w:cs="Times New Roman"/>
          <w:spacing w:val="-4"/>
          <w:sz w:val="32"/>
          <w:szCs w:val="32"/>
        </w:rPr>
        <w:t>Choice of Control Group in Clinical Trials</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E10</w:t>
      </w:r>
      <w:r w:rsidRPr="00F80D54">
        <w:rPr>
          <w:rFonts w:ascii="Times New Roman" w:eastAsia="仿宋_GB2312" w:hAnsi="Times New Roman" w:cs="Times New Roman"/>
          <w:spacing w:val="-4"/>
          <w:sz w:val="32"/>
          <w:szCs w:val="32"/>
        </w:rPr>
        <w:t>）</w:t>
      </w:r>
      <w:r w:rsidRPr="00F80D54">
        <w:rPr>
          <w:rFonts w:ascii="Times New Roman" w:eastAsia="仿宋_GB2312" w:hAnsi="Times New Roman" w:cs="Times New Roman"/>
          <w:spacing w:val="-4"/>
          <w:sz w:val="32"/>
          <w:szCs w:val="32"/>
        </w:rPr>
        <w:t>.</w:t>
      </w:r>
    </w:p>
    <w:p w:rsidR="006F5CD9" w:rsidRPr="00F80D54" w:rsidRDefault="006F5CD9" w:rsidP="006F5CD9">
      <w:pPr>
        <w:pStyle w:val="1"/>
        <w:numPr>
          <w:ilvl w:val="0"/>
          <w:numId w:val="1"/>
        </w:numPr>
        <w:autoSpaceDE w:val="0"/>
        <w:autoSpaceDN w:val="0"/>
        <w:adjustRightInd w:val="0"/>
        <w:spacing w:line="640" w:lineRule="exact"/>
        <w:ind w:left="0" w:firstLineChars="0" w:firstLine="567"/>
        <w:jc w:val="both"/>
        <w:rPr>
          <w:rFonts w:ascii="Times New Roman" w:eastAsia="仿宋_GB2312" w:hAnsi="Times New Roman" w:cs="Times New Roman"/>
          <w:sz w:val="32"/>
          <w:szCs w:val="32"/>
        </w:rPr>
      </w:pPr>
      <w:bookmarkStart w:id="2" w:name="Pg30"/>
      <w:bookmarkEnd w:id="2"/>
      <w:r w:rsidRPr="00F80D54">
        <w:rPr>
          <w:rFonts w:ascii="Times New Roman" w:eastAsia="仿宋_GB2312" w:hAnsi="Times New Roman" w:cs="Times New Roman"/>
          <w:sz w:val="32"/>
          <w:szCs w:val="32"/>
        </w:rPr>
        <w:t xml:space="preserve">Garbe E, Rohmel J, Gundert-Remy U, </w:t>
      </w:r>
      <w:r w:rsidRPr="00F80D54">
        <w:rPr>
          <w:rFonts w:ascii="Times New Roman" w:eastAsia="仿宋_GB2312" w:hAnsi="Times New Roman" w:cs="Times New Roman"/>
          <w:i/>
          <w:sz w:val="32"/>
          <w:szCs w:val="32"/>
        </w:rPr>
        <w:t>et al</w:t>
      </w:r>
      <w:r w:rsidRPr="00F80D54">
        <w:rPr>
          <w:rFonts w:ascii="Times New Roman" w:eastAsia="仿宋_GB2312" w:hAnsi="Times New Roman" w:cs="Times New Roman"/>
          <w:sz w:val="32"/>
          <w:szCs w:val="32"/>
        </w:rPr>
        <w:t>. Clinical and statistical issues in therapeutic equivalence trials[J]. Eur J ClinPharmacol, 1993: 45: 1-7.</w:t>
      </w:r>
    </w:p>
    <w:sectPr w:rsidR="006F5CD9" w:rsidRPr="00F80D54" w:rsidSect="009B75F1">
      <w:footerReference w:type="even" r:id="rId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B2C" w:rsidRDefault="00771B2C" w:rsidP="006F5CD9">
      <w:r>
        <w:separator/>
      </w:r>
    </w:p>
  </w:endnote>
  <w:endnote w:type="continuationSeparator" w:id="1">
    <w:p w:rsidR="00771B2C" w:rsidRDefault="00771B2C" w:rsidP="006F5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3" w:rsidRPr="009B75F1" w:rsidRDefault="00A32389">
    <w:pPr>
      <w:pStyle w:val="a4"/>
      <w:rPr>
        <w:sz w:val="28"/>
        <w:szCs w:val="28"/>
      </w:rPr>
    </w:pPr>
    <w:r w:rsidRPr="009B75F1">
      <w:rPr>
        <w:rFonts w:hint="eastAsia"/>
        <w:color w:val="FFFFFF"/>
        <w:sz w:val="28"/>
        <w:szCs w:val="28"/>
      </w:rPr>
      <w:t>—</w:t>
    </w:r>
    <w:r w:rsidRPr="009B75F1">
      <w:rPr>
        <w:rFonts w:hint="eastAsia"/>
        <w:sz w:val="28"/>
        <w:szCs w:val="28"/>
      </w:rPr>
      <w:t>—</w:t>
    </w:r>
    <w:r w:rsidR="00EF1437" w:rsidRPr="009B75F1">
      <w:rPr>
        <w:sz w:val="28"/>
        <w:szCs w:val="28"/>
      </w:rPr>
      <w:fldChar w:fldCharType="begin"/>
    </w:r>
    <w:r w:rsidRPr="009B75F1">
      <w:rPr>
        <w:sz w:val="28"/>
        <w:szCs w:val="28"/>
      </w:rPr>
      <w:instrText>PAGE   \* MERGEFORMAT</w:instrText>
    </w:r>
    <w:r w:rsidR="00EF1437" w:rsidRPr="009B75F1">
      <w:rPr>
        <w:sz w:val="28"/>
        <w:szCs w:val="28"/>
      </w:rPr>
      <w:fldChar w:fldCharType="separate"/>
    </w:r>
    <w:r w:rsidRPr="0072762A">
      <w:rPr>
        <w:noProof/>
        <w:sz w:val="28"/>
        <w:szCs w:val="28"/>
        <w:lang w:val="zh-CN"/>
      </w:rPr>
      <w:t>6</w:t>
    </w:r>
    <w:r w:rsidR="00EF1437" w:rsidRPr="009B75F1">
      <w:rPr>
        <w:sz w:val="28"/>
        <w:szCs w:val="28"/>
      </w:rPr>
      <w:fldChar w:fldCharType="end"/>
    </w:r>
    <w:r w:rsidRPr="009B75F1">
      <w:rPr>
        <w:rFonts w:hint="eastAsia"/>
        <w:sz w:val="28"/>
        <w:szCs w:val="28"/>
      </w:rPr>
      <w:t>—</w:t>
    </w:r>
  </w:p>
  <w:p w:rsidR="00A73EB3" w:rsidRDefault="00771B2C" w:rsidP="009B75F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3" w:rsidRPr="009B75F1" w:rsidRDefault="00A32389" w:rsidP="009B75F1">
    <w:pPr>
      <w:pStyle w:val="a4"/>
      <w:wordWrap w:val="0"/>
      <w:jc w:val="right"/>
      <w:rPr>
        <w:sz w:val="28"/>
        <w:szCs w:val="28"/>
      </w:rPr>
    </w:pPr>
    <w:r w:rsidRPr="009B75F1">
      <w:rPr>
        <w:rFonts w:hint="eastAsia"/>
        <w:sz w:val="28"/>
        <w:szCs w:val="28"/>
      </w:rPr>
      <w:t>—</w:t>
    </w:r>
    <w:r w:rsidR="00EF1437" w:rsidRPr="009B75F1">
      <w:rPr>
        <w:sz w:val="28"/>
        <w:szCs w:val="28"/>
      </w:rPr>
      <w:fldChar w:fldCharType="begin"/>
    </w:r>
    <w:r w:rsidRPr="009B75F1">
      <w:rPr>
        <w:sz w:val="28"/>
        <w:szCs w:val="28"/>
      </w:rPr>
      <w:instrText>PAGE   \* MERGEFORMAT</w:instrText>
    </w:r>
    <w:r w:rsidR="00EF1437" w:rsidRPr="009B75F1">
      <w:rPr>
        <w:sz w:val="28"/>
        <w:szCs w:val="28"/>
      </w:rPr>
      <w:fldChar w:fldCharType="separate"/>
    </w:r>
    <w:r w:rsidR="004870DA" w:rsidRPr="004870DA">
      <w:rPr>
        <w:noProof/>
        <w:sz w:val="28"/>
        <w:szCs w:val="28"/>
        <w:lang w:val="zh-CN"/>
      </w:rPr>
      <w:t>2</w:t>
    </w:r>
    <w:r w:rsidR="00EF1437" w:rsidRPr="009B75F1">
      <w:rPr>
        <w:sz w:val="28"/>
        <w:szCs w:val="28"/>
      </w:rPr>
      <w:fldChar w:fldCharType="end"/>
    </w:r>
    <w:r w:rsidRPr="009B75F1">
      <w:rPr>
        <w:rFonts w:hint="eastAsia"/>
        <w:sz w:val="28"/>
        <w:szCs w:val="28"/>
      </w:rPr>
      <w:t>—</w:t>
    </w:r>
    <w:r w:rsidRPr="009B75F1">
      <w:rPr>
        <w:rFonts w:hint="eastAsia"/>
        <w:color w:val="FFFFFF"/>
        <w:sz w:val="28"/>
        <w:szCs w:val="28"/>
      </w:rPr>
      <w:t>—</w:t>
    </w:r>
  </w:p>
  <w:p w:rsidR="00A73EB3" w:rsidRDefault="00771B2C" w:rsidP="009B75F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B2C" w:rsidRDefault="00771B2C" w:rsidP="006F5CD9">
      <w:r>
        <w:separator/>
      </w:r>
    </w:p>
  </w:footnote>
  <w:footnote w:type="continuationSeparator" w:id="1">
    <w:p w:rsidR="00771B2C" w:rsidRDefault="00771B2C" w:rsidP="006F5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810E0"/>
    <w:multiLevelType w:val="multilevel"/>
    <w:tmpl w:val="2BFA8E6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0D9"/>
    <w:rsid w:val="000900D9"/>
    <w:rsid w:val="0009469C"/>
    <w:rsid w:val="004870DA"/>
    <w:rsid w:val="006F5CD9"/>
    <w:rsid w:val="00771B2C"/>
    <w:rsid w:val="00A32389"/>
    <w:rsid w:val="00EF1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CD9"/>
    <w:rPr>
      <w:sz w:val="18"/>
      <w:szCs w:val="18"/>
    </w:rPr>
  </w:style>
  <w:style w:type="paragraph" w:styleId="a4">
    <w:name w:val="footer"/>
    <w:basedOn w:val="a"/>
    <w:link w:val="Char0"/>
    <w:uiPriority w:val="99"/>
    <w:unhideWhenUsed/>
    <w:rsid w:val="006F5CD9"/>
    <w:pPr>
      <w:tabs>
        <w:tab w:val="center" w:pos="4153"/>
        <w:tab w:val="right" w:pos="8306"/>
      </w:tabs>
      <w:snapToGrid w:val="0"/>
      <w:jc w:val="left"/>
    </w:pPr>
    <w:rPr>
      <w:sz w:val="18"/>
      <w:szCs w:val="18"/>
    </w:rPr>
  </w:style>
  <w:style w:type="character" w:customStyle="1" w:styleId="Char0">
    <w:name w:val="页脚 Char"/>
    <w:basedOn w:val="a0"/>
    <w:link w:val="a4"/>
    <w:uiPriority w:val="99"/>
    <w:rsid w:val="006F5CD9"/>
    <w:rPr>
      <w:sz w:val="18"/>
      <w:szCs w:val="18"/>
    </w:rPr>
  </w:style>
  <w:style w:type="paragraph" w:customStyle="1" w:styleId="1">
    <w:name w:val="列出段落1"/>
    <w:basedOn w:val="a"/>
    <w:uiPriority w:val="34"/>
    <w:qFormat/>
    <w:rsid w:val="006F5CD9"/>
    <w:pPr>
      <w:widowControl/>
      <w:ind w:firstLineChars="200" w:firstLine="420"/>
      <w:jc w:val="left"/>
    </w:pPr>
    <w:rPr>
      <w:rFonts w:ascii="宋体" w:hAnsi="宋体" w:cs="宋体"/>
      <w:kern w:val="0"/>
      <w:sz w:val="24"/>
    </w:rPr>
  </w:style>
  <w:style w:type="paragraph" w:styleId="a5">
    <w:name w:val="Balloon Text"/>
    <w:basedOn w:val="a"/>
    <w:link w:val="Char1"/>
    <w:uiPriority w:val="99"/>
    <w:semiHidden/>
    <w:unhideWhenUsed/>
    <w:rsid w:val="006F5CD9"/>
    <w:rPr>
      <w:sz w:val="18"/>
      <w:szCs w:val="18"/>
    </w:rPr>
  </w:style>
  <w:style w:type="character" w:customStyle="1" w:styleId="Char1">
    <w:name w:val="批注框文本 Char"/>
    <w:basedOn w:val="a0"/>
    <w:link w:val="a5"/>
    <w:uiPriority w:val="99"/>
    <w:semiHidden/>
    <w:rsid w:val="006F5CD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CD9"/>
    <w:rPr>
      <w:sz w:val="18"/>
      <w:szCs w:val="18"/>
    </w:rPr>
  </w:style>
  <w:style w:type="paragraph" w:styleId="a4">
    <w:name w:val="footer"/>
    <w:basedOn w:val="a"/>
    <w:link w:val="Char0"/>
    <w:uiPriority w:val="99"/>
    <w:unhideWhenUsed/>
    <w:rsid w:val="006F5CD9"/>
    <w:pPr>
      <w:tabs>
        <w:tab w:val="center" w:pos="4153"/>
        <w:tab w:val="right" w:pos="8306"/>
      </w:tabs>
      <w:snapToGrid w:val="0"/>
      <w:jc w:val="left"/>
    </w:pPr>
    <w:rPr>
      <w:sz w:val="18"/>
      <w:szCs w:val="18"/>
    </w:rPr>
  </w:style>
  <w:style w:type="character" w:customStyle="1" w:styleId="Char0">
    <w:name w:val="页脚 Char"/>
    <w:basedOn w:val="a0"/>
    <w:link w:val="a4"/>
    <w:uiPriority w:val="99"/>
    <w:rsid w:val="006F5CD9"/>
    <w:rPr>
      <w:sz w:val="18"/>
      <w:szCs w:val="18"/>
    </w:rPr>
  </w:style>
  <w:style w:type="paragraph" w:customStyle="1" w:styleId="1">
    <w:name w:val="列出段落1"/>
    <w:basedOn w:val="a"/>
    <w:uiPriority w:val="34"/>
    <w:qFormat/>
    <w:rsid w:val="006F5CD9"/>
    <w:pPr>
      <w:widowControl/>
      <w:ind w:firstLineChars="200" w:firstLine="420"/>
      <w:jc w:val="left"/>
    </w:pPr>
    <w:rPr>
      <w:rFonts w:ascii="宋体" w:hAnsi="宋体" w:cs="宋体"/>
      <w:kern w:val="0"/>
      <w:sz w:val="24"/>
    </w:rPr>
  </w:style>
  <w:style w:type="paragraph" w:styleId="a5">
    <w:name w:val="Balloon Text"/>
    <w:basedOn w:val="a"/>
    <w:link w:val="Char1"/>
    <w:uiPriority w:val="99"/>
    <w:semiHidden/>
    <w:unhideWhenUsed/>
    <w:rsid w:val="006F5CD9"/>
    <w:rPr>
      <w:sz w:val="18"/>
      <w:szCs w:val="18"/>
    </w:rPr>
  </w:style>
  <w:style w:type="character" w:customStyle="1" w:styleId="Char1">
    <w:name w:val="批注框文本 Char"/>
    <w:basedOn w:val="a0"/>
    <w:link w:val="a5"/>
    <w:uiPriority w:val="99"/>
    <w:semiHidden/>
    <w:rsid w:val="006F5C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Words>
  <Characters>1773</Characters>
  <Application>Microsoft Office Word</Application>
  <DocSecurity>0</DocSecurity>
  <Lines>14</Lines>
  <Paragraphs>4</Paragraphs>
  <ScaleCrop>false</ScaleCrop>
  <Company>CFDA</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2017-02-07T08:48:00Z</dcterms:created>
  <dcterms:modified xsi:type="dcterms:W3CDTF">2017-02-07T08:48:00Z</dcterms:modified>
</cp:coreProperties>
</file>